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19282" w14:textId="4C340980" w:rsidR="003915AD" w:rsidRDefault="00312D66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Nº </w:t>
      </w:r>
      <w:r w:rsidR="008C61A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856A5F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79BE6C2D" w14:textId="77777777" w:rsidR="003915AD" w:rsidRDefault="003915AD">
      <w:pPr>
        <w:spacing w:before="240" w:after="200" w:line="36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8EA38" w14:textId="0D924C42" w:rsidR="003915AD" w:rsidRDefault="00312D66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ADICIONA </w:t>
      </w:r>
      <w:r w:rsidR="00EC141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1411">
        <w:rPr>
          <w:rFonts w:ascii="Times New Roman" w:eastAsia="Times New Roman" w:hAnsi="Times New Roman" w:cs="Times New Roman"/>
          <w:b/>
          <w:sz w:val="24"/>
          <w:szCs w:val="24"/>
        </w:rPr>
        <w:t>PROGRAMA/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AÇÃO QUE ESPECIFICA AO ANEXO </w:t>
      </w:r>
      <w:proofErr w:type="spellStart"/>
      <w:r w:rsidR="00A212F7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PROJETO DE LEI Nº 183/2025, QUE DISPÕE SOBRE O PLANO PLURIANUAL DO MUNICÍPIO DE PARAUAPEBAS PARA O QUADRIÊNIO 2026-2029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D4E212A" w14:textId="77777777" w:rsidR="003915AD" w:rsidRDefault="003915AD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595B1249" w14:textId="77777777" w:rsidR="003915AD" w:rsidRDefault="00312D66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EMENDA:</w:t>
      </w:r>
    </w:p>
    <w:p w14:paraId="15D9660B" w14:textId="38080BA1" w:rsidR="003915AD" w:rsidRDefault="00312D66" w:rsidP="00235AE6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Ao Anexo </w:t>
      </w:r>
      <w:proofErr w:type="spellStart"/>
      <w:r w:rsidR="00A212F7">
        <w:rPr>
          <w:rFonts w:ascii="Times New Roman" w:eastAsia="Times New Roman" w:hAnsi="Times New Roman" w:cs="Times New Roman"/>
          <w:sz w:val="24"/>
          <w:szCs w:val="24"/>
        </w:rPr>
        <w:t>VII</w:t>
      </w:r>
      <w:proofErr w:type="spellEnd"/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 do Projeto de Lei nº 18</w:t>
      </w:r>
      <w:r w:rsidR="00C52E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/2025, Eixo Estratégico “</w:t>
      </w:r>
      <w:r w:rsidR="007A7DDB" w:rsidRPr="007A7DDB">
        <w:rPr>
          <w:rFonts w:ascii="Times New Roman" w:eastAsia="Times New Roman" w:hAnsi="Times New Roman" w:cs="Times New Roman"/>
          <w:sz w:val="24"/>
          <w:szCs w:val="24"/>
        </w:rPr>
        <w:t>Sustentabilidade Ambiental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EC1411">
        <w:rPr>
          <w:rFonts w:ascii="Times New Roman" w:eastAsia="Times New Roman" w:hAnsi="Times New Roman" w:cs="Times New Roman"/>
          <w:sz w:val="24"/>
          <w:szCs w:val="24"/>
        </w:rPr>
        <w:t xml:space="preserve">fica acrescido o 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Programa “Gestão das Políticas Públicas do Fundo Municipal de Investimentos Sustentáveis, Negócios Ecológicos e Economia de Carbono (</w:t>
      </w:r>
      <w:proofErr w:type="spellStart"/>
      <w:proofErr w:type="gramStart"/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FUMINEC</w:t>
      </w:r>
      <w:proofErr w:type="spellEnd"/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)”</w:t>
      </w:r>
      <w:proofErr w:type="gramEnd"/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1411">
        <w:rPr>
          <w:rFonts w:ascii="Times New Roman" w:eastAsia="Times New Roman" w:hAnsi="Times New Roman" w:cs="Times New Roman"/>
          <w:sz w:val="24"/>
          <w:szCs w:val="24"/>
        </w:rPr>
        <w:t>constando a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 Ação nº 259 e a Ação nº 260, conforme Anexo Único desta Emenda.</w:t>
      </w:r>
    </w:p>
    <w:p w14:paraId="502C8092" w14:textId="77777777" w:rsidR="003915AD" w:rsidRDefault="00312D66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6F81B13F" w14:textId="11733453" w:rsidR="003915AD" w:rsidRDefault="00312D6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5907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907B7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5D79BCE4" w14:textId="7E8EF80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E244C" w14:textId="77777777" w:rsidR="00B117D2" w:rsidRDefault="00B117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04C2C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7098D" w14:textId="19B1CA91" w:rsidR="003915AD" w:rsidRDefault="005907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ANDERSON MARCOS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MORAT</w:t>
      </w:r>
      <w:r w:rsidR="00C52EB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RIO</w:t>
      </w:r>
      <w:proofErr w:type="spellEnd"/>
    </w:p>
    <w:p w14:paraId="408650B2" w14:textId="7C029A2E" w:rsidR="003915AD" w:rsidRDefault="00312D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915AD">
          <w:headerReference w:type="default" r:id="rId7"/>
          <w:footerReference w:type="default" r:id="rId8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r w:rsidR="00590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P</w:t>
      </w:r>
      <w:r w:rsidR="005907B7">
        <w:rPr>
          <w:rFonts w:ascii="Times New Roman" w:eastAsia="Times New Roman" w:hAnsi="Times New Roman" w:cs="Times New Roman"/>
          <w:b/>
          <w:sz w:val="24"/>
          <w:szCs w:val="24"/>
        </w:rPr>
        <w:t>RD</w:t>
      </w:r>
    </w:p>
    <w:p w14:paraId="7BD29AD8" w14:textId="77777777" w:rsidR="003915AD" w:rsidRDefault="00312D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ÚNICO</w:t>
      </w:r>
    </w:p>
    <w:p w14:paraId="598B5D08" w14:textId="77777777" w:rsidR="003915AD" w:rsidRDefault="003915AD">
      <w:pPr>
        <w:spacing w:line="240" w:lineRule="auto"/>
        <w:jc w:val="both"/>
      </w:pPr>
    </w:p>
    <w:tbl>
      <w:tblPr>
        <w:tblStyle w:val="Tabelacomgrade"/>
        <w:tblW w:w="1412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1745"/>
        <w:gridCol w:w="2694"/>
        <w:gridCol w:w="525"/>
        <w:gridCol w:w="1736"/>
        <w:gridCol w:w="493"/>
        <w:gridCol w:w="1491"/>
        <w:gridCol w:w="2229"/>
      </w:tblGrid>
      <w:tr w:rsidR="003915AD" w14:paraId="1E7C1FE2" w14:textId="77777777" w:rsidTr="00D819C8">
        <w:trPr>
          <w:tblHeader/>
        </w:trPr>
        <w:tc>
          <w:tcPr>
            <w:tcW w:w="14128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F4B083" w:themeColor="accent2" w:themeTint="99" w:fill="F4B083" w:themeFill="accent2" w:themeFillTint="9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27CF2D1" w14:textId="77777777" w:rsidR="003915AD" w:rsidRDefault="00312D66">
            <w:pPr>
              <w:spacing w:line="240" w:lineRule="auto"/>
              <w:jc w:val="center"/>
            </w:pPr>
            <w:r>
              <w:rPr>
                <w:b/>
                <w:color w:val="1F1F1F"/>
              </w:rPr>
              <w:t>PROGRAMA</w:t>
            </w:r>
          </w:p>
        </w:tc>
      </w:tr>
      <w:tr w:rsidR="003915AD" w14:paraId="3D6513CD" w14:textId="77777777" w:rsidTr="00D819C8">
        <w:trPr>
          <w:trHeight w:val="351"/>
        </w:trPr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ADFE06B" w14:textId="77777777" w:rsidR="003915AD" w:rsidRDefault="00312D66">
            <w:pPr>
              <w:tabs>
                <w:tab w:val="center" w:pos="1526"/>
                <w:tab w:val="right" w:pos="2855"/>
              </w:tabs>
              <w:spacing w:line="240" w:lineRule="auto"/>
            </w:pPr>
            <w:r>
              <w:rPr>
                <w:b/>
                <w:color w:val="1F1F1F"/>
              </w:rPr>
              <w:t>Eixo</w:t>
            </w:r>
            <w:r>
              <w:tab/>
            </w:r>
          </w:p>
        </w:tc>
        <w:tc>
          <w:tcPr>
            <w:tcW w:w="10913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9B12F02" w14:textId="498D1FC1" w:rsidR="003915AD" w:rsidRDefault="007A7DDB">
            <w:pPr>
              <w:spacing w:line="240" w:lineRule="auto"/>
            </w:pPr>
            <w:r w:rsidRPr="007A7DDB">
              <w:rPr>
                <w:color w:val="1F1F1F"/>
              </w:rPr>
              <w:t>Sustentabilidade Ambiental</w:t>
            </w:r>
          </w:p>
        </w:tc>
      </w:tr>
      <w:tr w:rsidR="003915AD" w14:paraId="72930365" w14:textId="77777777" w:rsidTr="00B117D2">
        <w:trPr>
          <w:trHeight w:val="780"/>
        </w:trPr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9B58287" w14:textId="77777777" w:rsidR="003915AD" w:rsidRDefault="00312D66">
            <w:pPr>
              <w:spacing w:line="240" w:lineRule="auto"/>
            </w:pPr>
            <w:r>
              <w:rPr>
                <w:b/>
                <w:color w:val="1F1F1F"/>
              </w:rPr>
              <w:t>Nome do Programa</w:t>
            </w:r>
          </w:p>
        </w:tc>
        <w:tc>
          <w:tcPr>
            <w:tcW w:w="6700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35D53D3" w14:textId="0986A03A" w:rsidR="003915AD" w:rsidRDefault="000476E9" w:rsidP="00235AE6">
            <w:pPr>
              <w:spacing w:line="240" w:lineRule="auto"/>
              <w:jc w:val="both"/>
            </w:pPr>
            <w:bookmarkStart w:id="2" w:name="_Hlk216025049"/>
            <w:r w:rsidRPr="000476E9">
              <w:rPr>
                <w:color w:val="1F1F1F"/>
              </w:rPr>
              <w:t>Gestão das Políticas Públicas do</w:t>
            </w:r>
            <w:r>
              <w:rPr>
                <w:color w:val="1F1F1F"/>
              </w:rPr>
              <w:t xml:space="preserve"> </w:t>
            </w:r>
            <w:r w:rsidRPr="000476E9">
              <w:rPr>
                <w:color w:val="1F1F1F"/>
              </w:rPr>
              <w:t>Fundo Municipal de</w:t>
            </w:r>
            <w:r w:rsidR="00235AE6">
              <w:rPr>
                <w:color w:val="1F1F1F"/>
              </w:rPr>
              <w:t xml:space="preserve"> </w:t>
            </w:r>
            <w:r w:rsidRPr="000476E9">
              <w:rPr>
                <w:color w:val="1F1F1F"/>
              </w:rPr>
              <w:t>Investimentos Sustentáveis, Negócios Ecológicos e Economia de Carbono (</w:t>
            </w:r>
            <w:proofErr w:type="spellStart"/>
            <w:r w:rsidRPr="000476E9">
              <w:rPr>
                <w:color w:val="1F1F1F"/>
              </w:rPr>
              <w:t>FUMINEC</w:t>
            </w:r>
            <w:proofErr w:type="spellEnd"/>
            <w:r w:rsidRPr="000476E9">
              <w:rPr>
                <w:color w:val="1F1F1F"/>
              </w:rPr>
              <w:t>)</w:t>
            </w:r>
            <w:r>
              <w:rPr>
                <w:color w:val="1F1F1F"/>
              </w:rPr>
              <w:t>.</w:t>
            </w:r>
            <w:bookmarkEnd w:id="2"/>
          </w:p>
        </w:tc>
        <w:tc>
          <w:tcPr>
            <w:tcW w:w="198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65BD3D" w14:textId="77777777" w:rsidR="003915AD" w:rsidRPr="00B117D2" w:rsidRDefault="00312D66">
            <w:pPr>
              <w:spacing w:line="240" w:lineRule="auto"/>
              <w:jc w:val="center"/>
              <w:rPr>
                <w:b/>
                <w:color w:val="1F1F1F"/>
              </w:rPr>
            </w:pPr>
            <w:r w:rsidRPr="00B117D2">
              <w:rPr>
                <w:b/>
                <w:color w:val="1F1F1F"/>
              </w:rPr>
              <w:t>Código</w:t>
            </w:r>
          </w:p>
        </w:tc>
        <w:tc>
          <w:tcPr>
            <w:tcW w:w="222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019A31B" w14:textId="6A382C08" w:rsidR="003915AD" w:rsidRDefault="00312D66">
            <w:pPr>
              <w:spacing w:line="240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60</w:t>
            </w:r>
            <w:r w:rsidR="00497942">
              <w:rPr>
                <w:color w:val="1F1F1F"/>
              </w:rPr>
              <w:t>83</w:t>
            </w:r>
          </w:p>
        </w:tc>
      </w:tr>
      <w:tr w:rsidR="003915AD" w14:paraId="6D4FAADC" w14:textId="77777777" w:rsidTr="00D819C8"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CF62990" w14:textId="77777777" w:rsidR="003915AD" w:rsidRDefault="00312D66">
            <w:pPr>
              <w:spacing w:line="240" w:lineRule="auto"/>
            </w:pPr>
            <w:r>
              <w:rPr>
                <w:b/>
                <w:color w:val="1F1F1F"/>
              </w:rPr>
              <w:t>Objetivo do Programa</w:t>
            </w:r>
          </w:p>
        </w:tc>
        <w:tc>
          <w:tcPr>
            <w:tcW w:w="10913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0D8EED9" w14:textId="090388B9" w:rsidR="003915AD" w:rsidRPr="00204E42" w:rsidRDefault="009A4477" w:rsidP="009A4477">
            <w:pPr>
              <w:spacing w:line="240" w:lineRule="auto"/>
              <w:jc w:val="both"/>
              <w:rPr>
                <w:color w:val="1F1F1F"/>
              </w:rPr>
            </w:pPr>
            <w:r w:rsidRPr="009A4477">
              <w:rPr>
                <w:color w:val="1F1F1F"/>
              </w:rPr>
              <w:t>Finalidade precípua de incentivar, fomentar, financiar e desenvolver políticas, programas</w:t>
            </w:r>
            <w:r w:rsidR="002D3162">
              <w:rPr>
                <w:color w:val="1F1F1F"/>
              </w:rPr>
              <w:t xml:space="preserve">, atividades </w:t>
            </w:r>
            <w:r w:rsidRPr="009A4477">
              <w:rPr>
                <w:color w:val="1F1F1F"/>
              </w:rPr>
              <w:t>e iniciativas voltadas a investimentos sustentáveis, negócios ecológicos, economia de carbono, redução de emissões de gases de efeito estufa (</w:t>
            </w:r>
            <w:proofErr w:type="spellStart"/>
            <w:r w:rsidRPr="009A4477">
              <w:rPr>
                <w:color w:val="1F1F1F"/>
              </w:rPr>
              <w:t>GEE</w:t>
            </w:r>
            <w:proofErr w:type="spellEnd"/>
            <w:r w:rsidRPr="009A4477">
              <w:rPr>
                <w:color w:val="1F1F1F"/>
              </w:rPr>
              <w:t>), geração de créditos de carbono e demais modalidades de economia verde</w:t>
            </w:r>
            <w:r>
              <w:rPr>
                <w:color w:val="1F1F1F"/>
              </w:rPr>
              <w:t>, energia renovável</w:t>
            </w:r>
            <w:r w:rsidRPr="009A4477">
              <w:rPr>
                <w:color w:val="1F1F1F"/>
              </w:rPr>
              <w:t xml:space="preserve"> e sustentabilidade, bem como outras ações de interesse do Município de Parauapebas. Abrange, ainda, a atuação</w:t>
            </w:r>
            <w:r>
              <w:rPr>
                <w:color w:val="1F1F1F"/>
              </w:rPr>
              <w:t xml:space="preserve"> empreendedora e inovadora</w:t>
            </w:r>
            <w:r w:rsidRPr="009A4477">
              <w:rPr>
                <w:color w:val="1F1F1F"/>
              </w:rPr>
              <w:t xml:space="preserve"> no mercado de carbono, incluindo o financiamento, o fomento e o desenvolvimento de projetos, a geração, certificação, intermediação e comercialização de créditos de carbono e/ou de negócios correlatos.</w:t>
            </w:r>
            <w:r>
              <w:rPr>
                <w:color w:val="1F1F1F"/>
              </w:rPr>
              <w:t xml:space="preserve"> </w:t>
            </w:r>
            <w:r w:rsidRPr="009A4477">
              <w:rPr>
                <w:color w:val="1F1F1F"/>
              </w:rPr>
              <w:t>Da mesma forma, visa assegurar o cumprimento das funções constitucionais e legais do Fundo Municipal de Investimentos Sustentáveis, Negócios Ecológicos e Economia de Carbono (</w:t>
            </w:r>
            <w:proofErr w:type="spellStart"/>
            <w:r w:rsidRPr="009A4477">
              <w:rPr>
                <w:color w:val="1F1F1F"/>
              </w:rPr>
              <w:t>FUMINEC</w:t>
            </w:r>
            <w:proofErr w:type="spellEnd"/>
            <w:r w:rsidRPr="009A4477">
              <w:rPr>
                <w:color w:val="1F1F1F"/>
              </w:rPr>
              <w:t>), em conformidade com a legislação aplicável, com as normas expedidas pelo Poder Executivo por meio do Comitê Municipal de Investimentos Sustentáveis, Negócios Ecológicos e Economia de Carbono (</w:t>
            </w:r>
            <w:proofErr w:type="spellStart"/>
            <w:r w:rsidRPr="009A4477">
              <w:rPr>
                <w:color w:val="1F1F1F"/>
              </w:rPr>
              <w:t>COMINEC</w:t>
            </w:r>
            <w:proofErr w:type="spellEnd"/>
            <w:r w:rsidRPr="009A4477">
              <w:rPr>
                <w:color w:val="1F1F1F"/>
              </w:rPr>
              <w:t>) e com as prioridades e interesses estratégicos do Município de Parauapebas.</w:t>
            </w:r>
          </w:p>
        </w:tc>
      </w:tr>
      <w:tr w:rsidR="003915AD" w14:paraId="1A745273" w14:textId="77777777" w:rsidTr="00B117D2"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45AA452" w14:textId="77777777" w:rsidR="003915AD" w:rsidRDefault="00312D66">
            <w:pPr>
              <w:spacing w:line="240" w:lineRule="auto"/>
            </w:pPr>
            <w:r>
              <w:rPr>
                <w:b/>
                <w:color w:val="1F1F1F"/>
              </w:rPr>
              <w:t>Órgão Responsável</w:t>
            </w:r>
          </w:p>
        </w:tc>
        <w:tc>
          <w:tcPr>
            <w:tcW w:w="496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45EB4EE" w14:textId="381D0191" w:rsidR="003915AD" w:rsidRDefault="000476E9" w:rsidP="00A51226">
            <w:pPr>
              <w:spacing w:line="240" w:lineRule="auto"/>
              <w:jc w:val="center"/>
            </w:pPr>
            <w:proofErr w:type="spellStart"/>
            <w:r>
              <w:rPr>
                <w:color w:val="1F1F1F"/>
              </w:rPr>
              <w:t>FUMINEC</w:t>
            </w:r>
            <w:proofErr w:type="spellEnd"/>
            <w:r w:rsidR="00A51226">
              <w:rPr>
                <w:color w:val="1F1F1F"/>
              </w:rPr>
              <w:t xml:space="preserve"> / </w:t>
            </w:r>
            <w:proofErr w:type="spellStart"/>
            <w:r w:rsidR="00A51226" w:rsidRPr="009A4477">
              <w:rPr>
                <w:color w:val="1F1F1F"/>
              </w:rPr>
              <w:t>COMINEC</w:t>
            </w:r>
            <w:proofErr w:type="spellEnd"/>
          </w:p>
        </w:tc>
        <w:tc>
          <w:tcPr>
            <w:tcW w:w="3720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04FF1D2" w14:textId="77777777" w:rsidR="003915AD" w:rsidRDefault="00312D66">
            <w:pPr>
              <w:spacing w:line="240" w:lineRule="auto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</w:rPr>
              <w:t>Período de vigência</w:t>
            </w:r>
          </w:p>
        </w:tc>
        <w:tc>
          <w:tcPr>
            <w:tcW w:w="222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5FCB339" w14:textId="77777777" w:rsidR="003915AD" w:rsidRDefault="00312D66">
            <w:pPr>
              <w:spacing w:line="240" w:lineRule="auto"/>
              <w:rPr>
                <w:color w:val="1F1F1F"/>
              </w:rPr>
            </w:pPr>
            <w:r>
              <w:rPr>
                <w:color w:val="1F1F1F"/>
              </w:rPr>
              <w:t>01/01/2026 - 31/12/2029</w:t>
            </w:r>
          </w:p>
        </w:tc>
      </w:tr>
      <w:tr w:rsidR="003915AD" w14:paraId="13FFB370" w14:textId="77777777" w:rsidTr="00D819C8">
        <w:tc>
          <w:tcPr>
            <w:tcW w:w="321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B8BC538" w14:textId="77777777" w:rsidR="003915AD" w:rsidRDefault="00312D66">
            <w:pPr>
              <w:spacing w:line="240" w:lineRule="auto"/>
            </w:pPr>
            <w:r>
              <w:rPr>
                <w:b/>
                <w:color w:val="1F1F1F"/>
              </w:rPr>
              <w:t>Classificação</w:t>
            </w:r>
          </w:p>
        </w:tc>
        <w:tc>
          <w:tcPr>
            <w:tcW w:w="4439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C19F7A0" w14:textId="77777777" w:rsidR="003915AD" w:rsidRDefault="00312D6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1F1F1F"/>
              </w:rPr>
              <w:t>Público-alvo</w:t>
            </w:r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B3D91F6" w14:textId="77777777" w:rsidR="003915AD" w:rsidRDefault="00312D66">
            <w:pPr>
              <w:spacing w:line="240" w:lineRule="auto"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</w:rPr>
              <w:t>Tipo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415663B" w14:textId="77777777" w:rsidR="003915AD" w:rsidRDefault="00312D66">
            <w:pPr>
              <w:spacing w:line="240" w:lineRule="auto"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</w:rPr>
              <w:t>Natureza do Programa</w:t>
            </w:r>
          </w:p>
        </w:tc>
      </w:tr>
      <w:tr w:rsidR="003915AD" w14:paraId="4A0E25AB" w14:textId="77777777" w:rsidTr="00D819C8">
        <w:tc>
          <w:tcPr>
            <w:tcW w:w="321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938689" w14:textId="77777777" w:rsidR="003915AD" w:rsidRDefault="003915AD">
            <w:pPr>
              <w:spacing w:line="1016" w:lineRule="auto"/>
              <w:rPr>
                <w:b/>
                <w:color w:val="1F1F1F"/>
                <w:sz w:val="24"/>
              </w:rPr>
            </w:pPr>
          </w:p>
        </w:tc>
        <w:tc>
          <w:tcPr>
            <w:tcW w:w="4439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D9D0E1C" w14:textId="7C9EB39A" w:rsidR="003915AD" w:rsidRDefault="00D207B9" w:rsidP="000476E9">
            <w:pPr>
              <w:spacing w:line="240" w:lineRule="auto"/>
              <w:jc w:val="both"/>
              <w:rPr>
                <w:color w:val="1F1F1F"/>
              </w:rPr>
            </w:pPr>
            <w:r w:rsidRPr="00D207B9">
              <w:rPr>
                <w:color w:val="1F1F1F"/>
              </w:rPr>
              <w:t xml:space="preserve">Cidadãos em geral, pessoas jurídicas de direito público ou de direito privado, com ou sem fins lucrativos, bem como demais entes, organizações e </w:t>
            </w:r>
            <w:r>
              <w:rPr>
                <w:color w:val="1F1F1F"/>
              </w:rPr>
              <w:t>pessoas</w:t>
            </w:r>
            <w:r w:rsidRPr="00D207B9">
              <w:rPr>
                <w:color w:val="1F1F1F"/>
              </w:rPr>
              <w:t xml:space="preserve"> que possam atuar, colaborar, cooperar, investir, empreender ou se beneficiar das </w:t>
            </w:r>
            <w:r w:rsidRPr="00D207B9">
              <w:rPr>
                <w:color w:val="1F1F1F"/>
              </w:rPr>
              <w:lastRenderedPageBreak/>
              <w:t>ações, atividades e iniciativas previstas no âmbito do Programa.</w:t>
            </w:r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D3327EE" w14:textId="77777777" w:rsidR="003915AD" w:rsidRDefault="00312D66">
            <w:pPr>
              <w:spacing w:line="240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lastRenderedPageBreak/>
              <w:t>Duração continuada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8FB48B" w14:textId="22070193" w:rsidR="003915AD" w:rsidRDefault="00312D66" w:rsidP="000476E9">
            <w:pPr>
              <w:spacing w:line="240" w:lineRule="auto"/>
              <w:jc w:val="both"/>
              <w:rPr>
                <w:color w:val="1F1F1F"/>
              </w:rPr>
            </w:pPr>
            <w:r>
              <w:rPr>
                <w:color w:val="1F1F1F"/>
              </w:rPr>
              <w:t>Gestão (</w:t>
            </w:r>
            <w:r w:rsidR="000476E9" w:rsidRPr="000476E9">
              <w:rPr>
                <w:color w:val="1F1F1F"/>
              </w:rPr>
              <w:t>Administrativa, Institucional e Estratégica</w:t>
            </w:r>
            <w:r>
              <w:rPr>
                <w:color w:val="1F1F1F"/>
              </w:rPr>
              <w:t>)</w:t>
            </w:r>
            <w:r w:rsidR="000476E9">
              <w:rPr>
                <w:color w:val="1F1F1F"/>
              </w:rPr>
              <w:t xml:space="preserve"> </w:t>
            </w:r>
            <w:r w:rsidR="00294A2E">
              <w:rPr>
                <w:color w:val="1F1F1F"/>
              </w:rPr>
              <w:t>–</w:t>
            </w:r>
            <w:r w:rsidR="000476E9">
              <w:rPr>
                <w:color w:val="1F1F1F"/>
              </w:rPr>
              <w:t xml:space="preserve"> </w:t>
            </w:r>
            <w:r w:rsidRPr="000476E9">
              <w:rPr>
                <w:b/>
                <w:bCs/>
                <w:color w:val="1F1F1F"/>
              </w:rPr>
              <w:t>Finalístico</w:t>
            </w:r>
          </w:p>
        </w:tc>
      </w:tr>
      <w:tr w:rsidR="003915AD" w14:paraId="055D847D" w14:textId="77777777" w:rsidTr="00D819C8">
        <w:trPr>
          <w:trHeight w:val="478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BC7DD8D" w14:textId="77777777" w:rsidR="003915AD" w:rsidRDefault="00312D6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Indicador</w:t>
            </w:r>
          </w:p>
        </w:tc>
        <w:tc>
          <w:tcPr>
            <w:tcW w:w="269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D8B2830" w14:textId="77777777" w:rsidR="003915AD" w:rsidRDefault="00312D6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Fonte do Indicador</w:t>
            </w:r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E919B98" w14:textId="77777777" w:rsidR="003915AD" w:rsidRDefault="00312D6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Referência Atual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30AEE1B" w14:textId="77777777" w:rsidR="003915AD" w:rsidRDefault="00312D6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Referência Esperada (2029)</w:t>
            </w:r>
          </w:p>
        </w:tc>
      </w:tr>
      <w:tr w:rsidR="003915AD" w14:paraId="532CF97A" w14:textId="77777777" w:rsidTr="00D819C8">
        <w:trPr>
          <w:trHeight w:val="982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00EF803" w14:textId="647CDC10" w:rsidR="0074217D" w:rsidRDefault="0085089F" w:rsidP="0074217D">
            <w:pPr>
              <w:spacing w:line="240" w:lineRule="auto"/>
              <w:jc w:val="both"/>
            </w:pPr>
            <w:r>
              <w:t xml:space="preserve">1. </w:t>
            </w:r>
            <w:r w:rsidR="0074217D">
              <w:t xml:space="preserve">— </w:t>
            </w:r>
            <w:r w:rsidR="008D4B32" w:rsidRPr="008D4B32">
              <w:t>Número de pessoas capacitadas e qualificadas</w:t>
            </w:r>
            <w:r w:rsidR="00570563" w:rsidRPr="00570563">
              <w:t xml:space="preserve"> em investimentos sustentáveis, negócios ecológicos, economia de carbono, redução de </w:t>
            </w:r>
            <w:proofErr w:type="spellStart"/>
            <w:r w:rsidR="00570563" w:rsidRPr="00570563">
              <w:t>GEE</w:t>
            </w:r>
            <w:proofErr w:type="spellEnd"/>
            <w:r w:rsidR="00570563" w:rsidRPr="00570563">
              <w:t>, créditos de carbono</w:t>
            </w:r>
            <w:r w:rsidR="008D4B32">
              <w:t>, energias renováveis</w:t>
            </w:r>
            <w:r w:rsidR="00570563" w:rsidRPr="00570563">
              <w:t xml:space="preserve"> e sustentabilidade</w:t>
            </w:r>
            <w:r w:rsidR="00EE2AAB">
              <w:t>, dentre outras iniciativas de economia verde</w:t>
            </w:r>
            <w:r w:rsidR="00570563" w:rsidRPr="00570563">
              <w:t>.</w:t>
            </w:r>
          </w:p>
          <w:p w14:paraId="6FB05A7E" w14:textId="2B67D680" w:rsidR="003915AD" w:rsidRDefault="003915AD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B8C7E9F" w14:textId="45584FF6" w:rsidR="003915AD" w:rsidRDefault="008D4B32" w:rsidP="002C75D6">
            <w:pPr>
              <w:spacing w:line="240" w:lineRule="auto"/>
              <w:jc w:val="both"/>
            </w:pPr>
            <w:r w:rsidRPr="008D4B32">
              <w:t xml:space="preserve">Relatórios de Capacitação / </w:t>
            </w:r>
            <w:proofErr w:type="spellStart"/>
            <w:r w:rsidRPr="008D4B32">
              <w:t>FUMINEC</w:t>
            </w:r>
            <w:proofErr w:type="spellEnd"/>
            <w:r w:rsidRPr="008D4B32">
              <w:t xml:space="preserve"> / </w:t>
            </w:r>
            <w:proofErr w:type="spellStart"/>
            <w:r w:rsidRPr="008D4B32">
              <w:t>SIAP</w:t>
            </w:r>
            <w:proofErr w:type="spellEnd"/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8458F41" w14:textId="77777777" w:rsidR="00570563" w:rsidRDefault="00570563">
            <w:pPr>
              <w:spacing w:line="240" w:lineRule="auto"/>
              <w:jc w:val="center"/>
            </w:pPr>
            <w:r w:rsidRPr="00570563">
              <w:t>N/A</w:t>
            </w:r>
          </w:p>
          <w:p w14:paraId="37E27480" w14:textId="0721137D" w:rsidR="003915AD" w:rsidRDefault="00570563">
            <w:pPr>
              <w:spacing w:line="240" w:lineRule="auto"/>
              <w:jc w:val="center"/>
            </w:pPr>
            <w:r w:rsidRPr="00570563">
              <w:t xml:space="preserve"> (</w:t>
            </w:r>
            <w:r>
              <w:t>P</w:t>
            </w:r>
            <w:r w:rsidRPr="00570563">
              <w:t>rograma em implantação)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59C2B12" w14:textId="0EF94A8A" w:rsidR="00570563" w:rsidRDefault="008D4B32" w:rsidP="00570563">
            <w:pPr>
              <w:spacing w:line="240" w:lineRule="auto"/>
              <w:jc w:val="both"/>
            </w:pPr>
            <w:r w:rsidRPr="008D4B32">
              <w:t>100% de incremento + 80% satisfação</w:t>
            </w:r>
            <w:r>
              <w:t>.</w:t>
            </w:r>
          </w:p>
        </w:tc>
      </w:tr>
      <w:tr w:rsidR="003915AD" w14:paraId="3B32B428" w14:textId="77777777" w:rsidTr="00D819C8">
        <w:trPr>
          <w:trHeight w:val="1041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F6B900A" w14:textId="6E39DCBB" w:rsidR="003915AD" w:rsidRDefault="0085089F" w:rsidP="0074217D">
            <w:pPr>
              <w:spacing w:line="240" w:lineRule="auto"/>
              <w:jc w:val="both"/>
            </w:pPr>
            <w:r>
              <w:t xml:space="preserve">2. </w:t>
            </w:r>
            <w:r w:rsidR="0074217D">
              <w:t xml:space="preserve">— </w:t>
            </w:r>
            <w:r w:rsidR="00570563" w:rsidRPr="00570563">
              <w:t xml:space="preserve">Quantidade de pessoas físicas ou jurídicas, públicas ou privadas, contempladas com incentivos, apoio, fomento, financiamento ou investimentos do </w:t>
            </w:r>
            <w:proofErr w:type="spellStart"/>
            <w:r w:rsidR="00570563" w:rsidRPr="00570563">
              <w:t>FUMINEC</w:t>
            </w:r>
            <w:proofErr w:type="spellEnd"/>
            <w:r w:rsidR="00570563" w:rsidRPr="00570563">
              <w:t xml:space="preserve"> nas áreas de sustentabilidade, negócios ecológicos</w:t>
            </w:r>
            <w:r w:rsidR="008D4B32">
              <w:t>, energias renováveis</w:t>
            </w:r>
            <w:r w:rsidR="00BE7352">
              <w:t xml:space="preserve">, </w:t>
            </w:r>
            <w:r w:rsidR="00570563" w:rsidRPr="00570563">
              <w:t>economia de carbono</w:t>
            </w:r>
            <w:r w:rsidR="00BE7352">
              <w:t>, dentre outras iniciativas de economia verde</w:t>
            </w:r>
            <w:r w:rsidR="00570563" w:rsidRPr="00570563">
              <w:t>.</w:t>
            </w:r>
          </w:p>
        </w:tc>
        <w:tc>
          <w:tcPr>
            <w:tcW w:w="269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C81BDDA" w14:textId="19B732A5" w:rsidR="003915AD" w:rsidRDefault="00570563">
            <w:pPr>
              <w:spacing w:line="240" w:lineRule="auto"/>
              <w:jc w:val="center"/>
            </w:pPr>
            <w:r w:rsidRPr="00570563">
              <w:t xml:space="preserve">Sistema de Prestação de Contas do </w:t>
            </w:r>
            <w:proofErr w:type="spellStart"/>
            <w:r w:rsidRPr="00570563">
              <w:t>FUMINEC</w:t>
            </w:r>
            <w:proofErr w:type="spellEnd"/>
            <w:r w:rsidRPr="00570563">
              <w:t xml:space="preserve"> / Portal da Transparência </w:t>
            </w:r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274B5FE" w14:textId="77777777" w:rsidR="00570563" w:rsidRDefault="00570563" w:rsidP="00570563">
            <w:pPr>
              <w:spacing w:line="240" w:lineRule="auto"/>
              <w:jc w:val="center"/>
            </w:pPr>
            <w:r w:rsidRPr="00570563">
              <w:t>N/A</w:t>
            </w:r>
          </w:p>
          <w:p w14:paraId="785D3586" w14:textId="6276AABC" w:rsidR="003915AD" w:rsidRDefault="00570563" w:rsidP="00570563">
            <w:pPr>
              <w:spacing w:line="240" w:lineRule="auto"/>
              <w:jc w:val="center"/>
            </w:pPr>
            <w:r w:rsidRPr="00570563">
              <w:t xml:space="preserve"> (</w:t>
            </w:r>
            <w:r>
              <w:t>P</w:t>
            </w:r>
            <w:r w:rsidRPr="00570563">
              <w:t>rograma em implantação)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ADB5403" w14:textId="0FADA23F" w:rsidR="003915AD" w:rsidRDefault="00CA3799">
            <w:pPr>
              <w:spacing w:line="240" w:lineRule="auto"/>
              <w:jc w:val="center"/>
            </w:pPr>
            <w:r>
              <w:t>Até 80% de investimentos ou projetos executados</w:t>
            </w:r>
          </w:p>
        </w:tc>
      </w:tr>
      <w:tr w:rsidR="00D819C8" w14:paraId="6598A992" w14:textId="77777777" w:rsidTr="0002406B">
        <w:trPr>
          <w:trHeight w:val="1186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22BF621" w14:textId="39C295CF" w:rsidR="00D819C8" w:rsidRDefault="0085089F" w:rsidP="0002406B">
            <w:pPr>
              <w:spacing w:line="240" w:lineRule="auto"/>
              <w:jc w:val="both"/>
            </w:pPr>
            <w:r>
              <w:t>3</w:t>
            </w:r>
            <w:r w:rsidR="00D819C8">
              <w:t xml:space="preserve"> — </w:t>
            </w:r>
            <w:r w:rsidR="008D4B32" w:rsidRPr="008D4B32">
              <w:t xml:space="preserve">Público total atendido </w:t>
            </w:r>
            <w:r w:rsidR="008D4B32">
              <w:t xml:space="preserve">(ou estimado) </w:t>
            </w:r>
            <w:r w:rsidR="008D4B32" w:rsidRPr="008D4B32">
              <w:t xml:space="preserve">pelas ações e projetos fomentados pelo </w:t>
            </w:r>
            <w:proofErr w:type="spellStart"/>
            <w:r w:rsidR="008D4B32" w:rsidRPr="008D4B32">
              <w:t>FUMINEC</w:t>
            </w:r>
            <w:proofErr w:type="spellEnd"/>
          </w:p>
        </w:tc>
        <w:tc>
          <w:tcPr>
            <w:tcW w:w="269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B8E28A1" w14:textId="46936315" w:rsidR="00D819C8" w:rsidRDefault="008D4B32" w:rsidP="0002406B">
            <w:pPr>
              <w:spacing w:line="240" w:lineRule="auto"/>
              <w:jc w:val="both"/>
            </w:pPr>
            <w:r w:rsidRPr="008D4B32">
              <w:t>Relatórios de Monitoramento / Execução Física</w:t>
            </w:r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65C0BC6" w14:textId="77777777" w:rsidR="0002406B" w:rsidRDefault="0002406B" w:rsidP="0002406B">
            <w:pPr>
              <w:spacing w:line="240" w:lineRule="auto"/>
              <w:jc w:val="center"/>
            </w:pPr>
            <w:r w:rsidRPr="00570563">
              <w:t>N/A</w:t>
            </w:r>
          </w:p>
          <w:p w14:paraId="77B97DC1" w14:textId="143C65D4" w:rsidR="00D819C8" w:rsidRDefault="0002406B" w:rsidP="0002406B">
            <w:pPr>
              <w:spacing w:line="240" w:lineRule="auto"/>
              <w:jc w:val="center"/>
            </w:pPr>
            <w:r w:rsidRPr="00570563">
              <w:t xml:space="preserve"> (</w:t>
            </w:r>
            <w:r>
              <w:t>P</w:t>
            </w:r>
            <w:r w:rsidRPr="00570563">
              <w:t>rograma em implantação)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21A4A14" w14:textId="40B3A062" w:rsidR="00D819C8" w:rsidRDefault="0002406B" w:rsidP="0002406B">
            <w:pPr>
              <w:spacing w:line="240" w:lineRule="auto"/>
              <w:jc w:val="both"/>
            </w:pPr>
            <w:r w:rsidRPr="0002406B">
              <w:t>Expansão progressiva conforme metas anuais, com incremento mínimo acumulado de 50% do público atendido.</w:t>
            </w:r>
          </w:p>
        </w:tc>
      </w:tr>
      <w:tr w:rsidR="0085089F" w14:paraId="79DBC28B" w14:textId="77777777" w:rsidTr="00D819C8">
        <w:trPr>
          <w:trHeight w:val="1041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05B5202" w14:textId="2FC0FF1E" w:rsidR="0085089F" w:rsidRDefault="0085089F" w:rsidP="0085089F">
            <w:pPr>
              <w:spacing w:line="240" w:lineRule="auto"/>
              <w:jc w:val="both"/>
            </w:pPr>
            <w:r>
              <w:t xml:space="preserve">4 — </w:t>
            </w:r>
            <w:r w:rsidR="008D4B32" w:rsidRPr="008D4B32">
              <w:t>Número de estudos e pesquisas especializadas realizadas</w:t>
            </w:r>
          </w:p>
        </w:tc>
        <w:tc>
          <w:tcPr>
            <w:tcW w:w="269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A65E34F" w14:textId="37D1055B" w:rsidR="0085089F" w:rsidRDefault="008D4B32" w:rsidP="0002406B">
            <w:pPr>
              <w:spacing w:line="240" w:lineRule="auto"/>
              <w:jc w:val="both"/>
            </w:pPr>
            <w:r w:rsidRPr="008D4B32">
              <w:t>Relatórios Técnicos / Publicações / Contratos</w:t>
            </w:r>
          </w:p>
        </w:tc>
        <w:tc>
          <w:tcPr>
            <w:tcW w:w="2754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103E269" w14:textId="77777777" w:rsidR="0002406B" w:rsidRDefault="0002406B" w:rsidP="0002406B">
            <w:pPr>
              <w:spacing w:line="240" w:lineRule="auto"/>
              <w:jc w:val="center"/>
            </w:pPr>
            <w:r w:rsidRPr="00570563">
              <w:t>N/A</w:t>
            </w:r>
          </w:p>
          <w:p w14:paraId="01CDF33E" w14:textId="3D11B707" w:rsidR="0085089F" w:rsidRDefault="0002406B" w:rsidP="0002406B">
            <w:pPr>
              <w:spacing w:line="240" w:lineRule="auto"/>
              <w:jc w:val="center"/>
            </w:pPr>
            <w:r w:rsidRPr="00570563">
              <w:t xml:space="preserve"> (</w:t>
            </w:r>
            <w:r>
              <w:t>P</w:t>
            </w:r>
            <w:r w:rsidRPr="00570563">
              <w:t>rograma em implantação)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4F94513" w14:textId="0F80E35F" w:rsidR="0085089F" w:rsidRDefault="008D4B32" w:rsidP="0002406B">
            <w:pPr>
              <w:spacing w:line="240" w:lineRule="auto"/>
              <w:jc w:val="both"/>
            </w:pPr>
            <w:r w:rsidRPr="008D4B32">
              <w:t>Realização periódica até consolidar relatórios em 2029</w:t>
            </w:r>
          </w:p>
        </w:tc>
      </w:tr>
    </w:tbl>
    <w:p w14:paraId="23363DCC" w14:textId="77777777" w:rsidR="003915AD" w:rsidRDefault="00312D66">
      <w:pPr>
        <w:spacing w:before="240" w:after="200" w:line="360" w:lineRule="auto"/>
        <w:ind w:firstLine="720"/>
        <w:jc w:val="both"/>
      </w:pPr>
      <w:r>
        <w:br w:type="page" w:clear="all"/>
      </w:r>
    </w:p>
    <w:tbl>
      <w:tblPr>
        <w:tblpPr w:leftFromText="141" w:rightFromText="141" w:vertAnchor="text" w:horzAnchor="page" w:tblpX="280" w:tblpY="-45"/>
        <w:tblW w:w="16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216"/>
        <w:gridCol w:w="6520"/>
        <w:gridCol w:w="1418"/>
        <w:gridCol w:w="2835"/>
        <w:gridCol w:w="850"/>
        <w:gridCol w:w="1294"/>
      </w:tblGrid>
      <w:tr w:rsidR="00C454BB" w:rsidRPr="00C454BB" w14:paraId="5916DE7D" w14:textId="77777777" w:rsidTr="00C454BB">
        <w:trPr>
          <w:trHeight w:val="498"/>
        </w:trPr>
        <w:tc>
          <w:tcPr>
            <w:tcW w:w="16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24011888" w14:textId="77777777" w:rsidR="00C454BB" w:rsidRPr="00C454BB" w:rsidRDefault="00C454BB" w:rsidP="00C454BB">
            <w:pPr>
              <w:spacing w:line="240" w:lineRule="auto"/>
              <w:ind w:left="21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bookmarkStart w:id="3" w:name="RANGE!A1:G5"/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AÇÕES</w:t>
            </w:r>
            <w:bookmarkEnd w:id="3"/>
          </w:p>
        </w:tc>
      </w:tr>
      <w:tr w:rsidR="00C454BB" w:rsidRPr="00C454BB" w14:paraId="3C6C76E0" w14:textId="77777777" w:rsidTr="00C454BB">
        <w:trPr>
          <w:trHeight w:val="49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4D61" w14:textId="75836839" w:rsidR="00C454BB" w:rsidRPr="00C454BB" w:rsidRDefault="00BE7352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Nº DA</w:t>
            </w:r>
            <w:r w:rsidR="00C454BB"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AÇÃO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8A1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NOME DA AÇÃO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BAA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34E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TIPO (A/P)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053F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PRODUTO ESPERADO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0E9C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METAS FÍSICAS</w:t>
            </w:r>
          </w:p>
        </w:tc>
      </w:tr>
      <w:tr w:rsidR="00C454BB" w:rsidRPr="00C454BB" w14:paraId="381F0B98" w14:textId="77777777" w:rsidTr="00C454BB">
        <w:trPr>
          <w:trHeight w:val="49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120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229E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F7DE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BD9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99F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50E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E24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2027-2029</w:t>
            </w:r>
          </w:p>
        </w:tc>
      </w:tr>
      <w:tr w:rsidR="00C454BB" w:rsidRPr="00C454BB" w14:paraId="2E148B4A" w14:textId="77777777" w:rsidTr="00235AE6">
        <w:trPr>
          <w:trHeight w:val="126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0C88C2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957" w14:textId="77777777" w:rsidR="00C454BB" w:rsidRPr="00B117D2" w:rsidRDefault="00C454BB" w:rsidP="00C454BB">
            <w:pPr>
              <w:spacing w:line="240" w:lineRule="auto"/>
              <w:rPr>
                <w:rFonts w:eastAsia="Times New Roman"/>
                <w:color w:val="000000"/>
              </w:rPr>
            </w:pPr>
            <w:r w:rsidRPr="00B117D2">
              <w:rPr>
                <w:rFonts w:eastAsia="Times New Roman"/>
                <w:color w:val="000000"/>
              </w:rPr>
              <w:t xml:space="preserve">Gestão das Ações do </w:t>
            </w:r>
            <w:proofErr w:type="spellStart"/>
            <w:r w:rsidRPr="00B117D2">
              <w:rPr>
                <w:rFonts w:eastAsia="Times New Roman"/>
                <w:color w:val="000000"/>
              </w:rPr>
              <w:t>FUMINEC</w:t>
            </w:r>
            <w:proofErr w:type="spellEnd"/>
            <w:r w:rsidRPr="00B117D2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062C" w14:textId="77777777" w:rsidR="00427336" w:rsidRPr="00B117D2" w:rsidRDefault="00427336" w:rsidP="00427336">
            <w:pPr>
              <w:jc w:val="both"/>
              <w:rPr>
                <w:rFonts w:eastAsia="Times New Roman"/>
                <w:color w:val="000000"/>
              </w:rPr>
            </w:pPr>
            <w:r w:rsidRPr="00B117D2">
              <w:rPr>
                <w:rFonts w:eastAsia="Times New Roman"/>
                <w:b/>
                <w:bCs/>
                <w:color w:val="000000"/>
              </w:rPr>
              <w:t>1.</w:t>
            </w:r>
            <w:r w:rsidRPr="00B117D2">
              <w:rPr>
                <w:rFonts w:eastAsia="Times New Roman"/>
                <w:color w:val="000000"/>
              </w:rPr>
              <w:t xml:space="preserve"> Garantir a gestão eficaz e contínua dos recursos financeiros destinados às atribuições institucionais do Fundo Municipal de Investimentos Sustentáveis, Negócios Ecológicos e Economia de Carbono (</w:t>
            </w:r>
            <w:proofErr w:type="spellStart"/>
            <w:r w:rsidRPr="00B117D2">
              <w:rPr>
                <w:rFonts w:eastAsia="Times New Roman"/>
                <w:color w:val="000000"/>
              </w:rPr>
              <w:t>FUMINEC</w:t>
            </w:r>
            <w:proofErr w:type="spellEnd"/>
            <w:r w:rsidRPr="00B117D2">
              <w:rPr>
                <w:rFonts w:eastAsia="Times New Roman"/>
                <w:color w:val="000000"/>
              </w:rPr>
              <w:t xml:space="preserve">), assegurando estabilidade operacional, capacitação, remuneração e encargos dos servidores públicos vinculados, bem como a manutenção de contratos, parcerias, cooperações e convênios. Inclui-se, ainda, a garantia da plena execução, manutenção, funcionamento e operacionalização das ações, atividades, projetos, serviços, produtos, investimentos, fomentos e demais atribuições e interesses do </w:t>
            </w:r>
            <w:proofErr w:type="spellStart"/>
            <w:r w:rsidRPr="00B117D2">
              <w:rPr>
                <w:rFonts w:eastAsia="Times New Roman"/>
                <w:color w:val="000000"/>
              </w:rPr>
              <w:t>FUMINEC</w:t>
            </w:r>
            <w:proofErr w:type="spellEnd"/>
            <w:r w:rsidRPr="00B117D2">
              <w:rPr>
                <w:rFonts w:eastAsia="Times New Roman"/>
                <w:color w:val="000000"/>
              </w:rPr>
              <w:t>, assegurando-se, para tanto, todos os meios administrativos, técnicos e operacionais essenciais, de modo a viabilizar suporte integral e condições adequadas ao desempenho das funções do Fundo.</w:t>
            </w:r>
          </w:p>
          <w:p w14:paraId="589BFD90" w14:textId="77777777" w:rsidR="00427336" w:rsidRPr="00B117D2" w:rsidRDefault="00427336" w:rsidP="00427336">
            <w:pPr>
              <w:jc w:val="both"/>
              <w:rPr>
                <w:rFonts w:eastAsia="Times New Roman"/>
                <w:color w:val="000000"/>
              </w:rPr>
            </w:pPr>
          </w:p>
          <w:p w14:paraId="508C8F0A" w14:textId="5DEBFB8D" w:rsidR="00427336" w:rsidRPr="00B117D2" w:rsidRDefault="00427336" w:rsidP="00427336">
            <w:pPr>
              <w:jc w:val="both"/>
              <w:rPr>
                <w:rFonts w:eastAsia="Times New Roman"/>
                <w:color w:val="000000"/>
              </w:rPr>
            </w:pPr>
            <w:r w:rsidRPr="00B117D2">
              <w:rPr>
                <w:rFonts w:eastAsia="Times New Roman"/>
                <w:b/>
                <w:bCs/>
                <w:color w:val="000000"/>
              </w:rPr>
              <w:t>2.</w:t>
            </w:r>
            <w:r w:rsidRPr="00B117D2">
              <w:rPr>
                <w:rFonts w:eastAsia="Times New Roman"/>
                <w:color w:val="000000"/>
              </w:rPr>
              <w:t xml:space="preserve"> Assegurar e promover maior eficiência, integração e efetividade na implementação das políticas públicas de investimentos sustentáveis, negócios ecológicos, economia de carbono e energias renováveis, abrangendo ações de captação de recursos, fomento, financiamento, investimentos e atuação empreendedora </w:t>
            </w:r>
            <w:proofErr w:type="spellStart"/>
            <w:r w:rsidRPr="00B117D2">
              <w:rPr>
                <w:rFonts w:eastAsia="Times New Roman"/>
                <w:color w:val="000000"/>
              </w:rPr>
              <w:t>intersetorial</w:t>
            </w:r>
            <w:proofErr w:type="spellEnd"/>
            <w:r w:rsidRPr="00B117D2">
              <w:rPr>
                <w:rFonts w:eastAsia="Times New Roman"/>
                <w:color w:val="000000"/>
              </w:rPr>
              <w:t xml:space="preserve"> e estratégica. Compreende, também, a formalização </w:t>
            </w:r>
            <w:r w:rsidRPr="00B117D2">
              <w:rPr>
                <w:rFonts w:eastAsia="Times New Roman"/>
                <w:color w:val="000000"/>
              </w:rPr>
              <w:lastRenderedPageBreak/>
              <w:t xml:space="preserve">de parcerias e demais relações contratuais legais necessárias à estruturação da atuação municipal no mercado de carbono, incluindo o desenvolvimento de projetos, geração, certificação, intermediação e comercialização de créditos de carbono e/ou negócios correlatos. Integra-se, igualmente, a consolidação de mecanismos de financiamento climático e o desenvolvimento, promoção e fortalecimento de projetos de </w:t>
            </w:r>
            <w:proofErr w:type="spellStart"/>
            <w:r w:rsidRPr="00B117D2">
              <w:rPr>
                <w:rFonts w:eastAsia="Times New Roman"/>
                <w:color w:val="000000"/>
              </w:rPr>
              <w:t>REDD</w:t>
            </w:r>
            <w:proofErr w:type="spellEnd"/>
            <w:r w:rsidRPr="00B117D2">
              <w:rPr>
                <w:rFonts w:eastAsia="Times New Roman"/>
                <w:color w:val="000000"/>
              </w:rPr>
              <w:t>+, reflorestamento, recuperação de áreas degradadas, Sistemas Agroflorestais (</w:t>
            </w:r>
            <w:proofErr w:type="spellStart"/>
            <w:r w:rsidRPr="00B117D2">
              <w:rPr>
                <w:rFonts w:eastAsia="Times New Roman"/>
                <w:color w:val="000000"/>
              </w:rPr>
              <w:t>SAFs</w:t>
            </w:r>
            <w:proofErr w:type="spellEnd"/>
            <w:r w:rsidRPr="00B117D2">
              <w:rPr>
                <w:rFonts w:eastAsia="Times New Roman"/>
                <w:color w:val="000000"/>
              </w:rPr>
              <w:t xml:space="preserve">), eficiência energética e demais iniciativas de desenvolvimento socioambiental, com atuação em áreas urbanas, rurais e indígenas, inclusive em âmbito regional, na forma da lei, em benefício da municipalidade, </w:t>
            </w:r>
            <w:r w:rsidR="000B233F" w:rsidRPr="00B117D2">
              <w:rPr>
                <w:rFonts w:eastAsia="Times New Roman"/>
                <w:color w:val="000000"/>
              </w:rPr>
              <w:t xml:space="preserve">do bem-estar social e do </w:t>
            </w:r>
            <w:r w:rsidRPr="00B117D2">
              <w:rPr>
                <w:rFonts w:eastAsia="Times New Roman"/>
                <w:color w:val="000000"/>
              </w:rPr>
              <w:t>desenvolvimento</w:t>
            </w:r>
            <w:r w:rsidR="000B233F" w:rsidRPr="00B117D2">
              <w:rPr>
                <w:rFonts w:eastAsia="Times New Roman"/>
                <w:color w:val="000000"/>
              </w:rPr>
              <w:t xml:space="preserve"> local e</w:t>
            </w:r>
            <w:r w:rsidRPr="00B117D2">
              <w:rPr>
                <w:rFonts w:eastAsia="Times New Roman"/>
                <w:color w:val="000000"/>
              </w:rPr>
              <w:t xml:space="preserve"> regional </w:t>
            </w:r>
            <w:r w:rsidR="000B233F" w:rsidRPr="00B117D2">
              <w:rPr>
                <w:rFonts w:eastAsia="Times New Roman"/>
                <w:color w:val="000000"/>
              </w:rPr>
              <w:t>sustentável</w:t>
            </w:r>
            <w:r w:rsidRPr="00B117D2">
              <w:rPr>
                <w:rFonts w:eastAsia="Times New Roman"/>
                <w:color w:val="000000"/>
              </w:rPr>
              <w:t>.</w:t>
            </w:r>
          </w:p>
          <w:p w14:paraId="27CD2D0C" w14:textId="77777777" w:rsidR="00427336" w:rsidRPr="00B117D2" w:rsidRDefault="00427336" w:rsidP="00427336">
            <w:pPr>
              <w:jc w:val="both"/>
              <w:rPr>
                <w:rFonts w:eastAsia="Times New Roman"/>
                <w:color w:val="000000"/>
              </w:rPr>
            </w:pPr>
          </w:p>
          <w:p w14:paraId="3EEE3537" w14:textId="77777777" w:rsidR="007B7767" w:rsidRPr="00B117D2" w:rsidRDefault="007B7767" w:rsidP="007B7767">
            <w:pPr>
              <w:pStyle w:val="PargrafodaLista"/>
              <w:spacing w:line="240" w:lineRule="auto"/>
              <w:ind w:left="744"/>
              <w:jc w:val="both"/>
              <w:rPr>
                <w:rFonts w:eastAsia="Times New Roman"/>
                <w:color w:val="000000"/>
              </w:rPr>
            </w:pPr>
          </w:p>
          <w:p w14:paraId="5A8FA7A7" w14:textId="11ADB391" w:rsidR="00235AE6" w:rsidRPr="00B117D2" w:rsidRDefault="00235AE6" w:rsidP="007B7767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A4F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Atividade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FED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Atividades e Ações Realizadas e Mantidas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B2C5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0A15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75%</w:t>
            </w:r>
          </w:p>
        </w:tc>
      </w:tr>
      <w:tr w:rsidR="00C454BB" w:rsidRPr="00C454BB" w14:paraId="508FDCBC" w14:textId="77777777" w:rsidTr="00C454BB">
        <w:trPr>
          <w:trHeight w:val="21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30708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7C76" w14:textId="77777777" w:rsidR="00C454BB" w:rsidRPr="00B117D2" w:rsidRDefault="00C454BB" w:rsidP="0085089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B117D2">
              <w:rPr>
                <w:rFonts w:eastAsia="Times New Roman"/>
                <w:color w:val="000000"/>
              </w:rPr>
              <w:t xml:space="preserve">Gestão do Comitê Municipal de Investimentos Sustentáveis, Negócios Ecológicos e Economia de Carbono - </w:t>
            </w:r>
            <w:proofErr w:type="spellStart"/>
            <w:r w:rsidRPr="00B117D2">
              <w:rPr>
                <w:rFonts w:eastAsia="Times New Roman"/>
                <w:color w:val="000000"/>
              </w:rPr>
              <w:t>COMINEC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6ED" w14:textId="3000013B" w:rsidR="00C454BB" w:rsidRPr="00B117D2" w:rsidRDefault="00826D73" w:rsidP="0085089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B117D2">
              <w:rPr>
                <w:rFonts w:eastAsia="Times New Roman"/>
                <w:color w:val="000000"/>
              </w:rPr>
              <w:t xml:space="preserve">Executar </w:t>
            </w:r>
            <w:r w:rsidR="007A7DDB" w:rsidRPr="00B117D2">
              <w:rPr>
                <w:rFonts w:eastAsia="Times New Roman"/>
                <w:color w:val="000000"/>
              </w:rPr>
              <w:t xml:space="preserve">atividades e </w:t>
            </w:r>
            <w:r w:rsidRPr="00B117D2">
              <w:rPr>
                <w:rFonts w:eastAsia="Times New Roman"/>
                <w:color w:val="000000"/>
              </w:rPr>
              <w:t>despesas</w:t>
            </w:r>
            <w:r w:rsidR="007A7DDB" w:rsidRPr="00B117D2">
              <w:rPr>
                <w:rFonts w:eastAsia="Times New Roman"/>
                <w:color w:val="000000"/>
              </w:rPr>
              <w:t xml:space="preserve">, </w:t>
            </w:r>
            <w:r w:rsidRPr="00B117D2">
              <w:rPr>
                <w:rFonts w:eastAsia="Times New Roman"/>
                <w:color w:val="000000"/>
              </w:rPr>
              <w:t>garanti</w:t>
            </w:r>
            <w:r w:rsidR="007A7DDB" w:rsidRPr="00B117D2">
              <w:rPr>
                <w:rFonts w:eastAsia="Times New Roman"/>
                <w:color w:val="000000"/>
              </w:rPr>
              <w:t>ndo</w:t>
            </w:r>
            <w:r w:rsidRPr="00B117D2">
              <w:rPr>
                <w:rFonts w:eastAsia="Times New Roman"/>
                <w:color w:val="000000"/>
              </w:rPr>
              <w:t xml:space="preserve"> todos os meios necessários à manutenção e ao pleno funcionamento do Comitê Municipal de Investimentos Sustentáveis, Negócios Ecológicos e Economia de Carbono (</w:t>
            </w:r>
            <w:proofErr w:type="spellStart"/>
            <w:r w:rsidRPr="00B117D2">
              <w:rPr>
                <w:rFonts w:eastAsia="Times New Roman"/>
                <w:color w:val="000000"/>
              </w:rPr>
              <w:t>COMINEC</w:t>
            </w:r>
            <w:proofErr w:type="spellEnd"/>
            <w:r w:rsidRPr="00B117D2">
              <w:rPr>
                <w:rFonts w:eastAsia="Times New Roman"/>
                <w:color w:val="000000"/>
              </w:rPr>
              <w:t>), assegurando suporte técnico, administrativo e operacional ao desempenho de suas atribuições legais e estratégicas na governança das políticas públicas de</w:t>
            </w:r>
            <w:r w:rsidR="00BE7352" w:rsidRPr="00B117D2">
              <w:rPr>
                <w:rFonts w:eastAsia="Times New Roman"/>
                <w:color w:val="000000"/>
              </w:rPr>
              <w:t xml:space="preserve"> sua competência conforme legislação vigente.</w:t>
            </w:r>
            <w:r w:rsidRPr="00B117D2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6473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34C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Atividades e Ações Realizadas e Mantidas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1F3F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303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75%</w:t>
            </w:r>
          </w:p>
        </w:tc>
      </w:tr>
    </w:tbl>
    <w:p w14:paraId="72ED77B9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01886" w14:textId="77777777" w:rsidR="003915AD" w:rsidRDefault="00312D66">
      <w:pPr>
        <w:rPr>
          <w:rFonts w:ascii="Times New Roman" w:eastAsia="Times New Roman" w:hAnsi="Times New Roman" w:cs="Times New Roman"/>
          <w:sz w:val="24"/>
          <w:szCs w:val="24"/>
        </w:rPr>
        <w:sectPr w:rsidR="003915AD" w:rsidSect="00B117D2">
          <w:pgSz w:w="16838" w:h="11906" w:orient="landscape"/>
          <w:pgMar w:top="1440" w:right="1440" w:bottom="1440" w:left="1440" w:header="709" w:footer="107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287908D1" w14:textId="77777777" w:rsidR="003915AD" w:rsidRDefault="00312D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5407ED" w14:textId="77777777" w:rsidR="003915AD" w:rsidRDefault="003915AD">
      <w:pPr>
        <w:spacing w:line="240" w:lineRule="auto"/>
        <w:jc w:val="center"/>
      </w:pPr>
    </w:p>
    <w:p w14:paraId="401BBA44" w14:textId="0E40E0EB" w:rsidR="00EE2AAB" w:rsidRPr="00EE2AAB" w:rsidRDefault="00EE2AAB" w:rsidP="00EE2AA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A presente Emenda tem por finalidade incluir, no Anexo </w:t>
      </w:r>
      <w:proofErr w:type="spellStart"/>
      <w:r w:rsidR="00A212F7">
        <w:rPr>
          <w:rFonts w:ascii="Times New Roman" w:eastAsia="Times New Roman" w:hAnsi="Times New Roman" w:cs="Times New Roman"/>
          <w:color w:val="000000"/>
          <w:sz w:val="24"/>
        </w:rPr>
        <w:t>VII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 do Projeto de Lei nº 18</w:t>
      </w:r>
      <w:r w:rsidR="00CA1A7B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>/2025, o Programa “Gestão das Políticas Públicas do Fundo Municipal de Investimentos Sustentáveis, Negócios Ecológicos e Economia de Carbono (</w:t>
      </w:r>
      <w:proofErr w:type="spellStart"/>
      <w:proofErr w:type="gramStart"/>
      <w:r w:rsidRPr="00EE2AAB">
        <w:rPr>
          <w:rFonts w:ascii="Times New Roman" w:eastAsia="Times New Roman" w:hAnsi="Times New Roman" w:cs="Times New Roman"/>
          <w:color w:val="000000"/>
          <w:sz w:val="24"/>
        </w:rPr>
        <w:t>FUMINEC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>)”</w:t>
      </w:r>
      <w:proofErr w:type="gramEnd"/>
      <w:r w:rsidR="00427336">
        <w:rPr>
          <w:rFonts w:ascii="Times New Roman" w:eastAsia="Times New Roman" w:hAnsi="Times New Roman" w:cs="Times New Roman"/>
          <w:color w:val="000000"/>
          <w:sz w:val="24"/>
        </w:rPr>
        <w:t xml:space="preserve"> e respectivas </w:t>
      </w:r>
      <w:r w:rsidR="00427336" w:rsidRPr="00EE2AAB">
        <w:rPr>
          <w:rFonts w:ascii="Times New Roman" w:eastAsia="Times New Roman" w:hAnsi="Times New Roman" w:cs="Times New Roman"/>
          <w:color w:val="000000"/>
          <w:sz w:val="24"/>
        </w:rPr>
        <w:t>Ações nº 259 e nº 260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336">
        <w:rPr>
          <w:rFonts w:ascii="Times New Roman" w:eastAsia="Times New Roman" w:hAnsi="Times New Roman" w:cs="Times New Roman"/>
          <w:color w:val="000000"/>
          <w:sz w:val="24"/>
        </w:rPr>
        <w:t xml:space="preserve"> que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passa 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>integra</w:t>
      </w:r>
      <w:r w:rsidR="00427336">
        <w:rPr>
          <w:rFonts w:ascii="Times New Roman" w:eastAsia="Times New Roman" w:hAnsi="Times New Roman" w:cs="Times New Roman"/>
          <w:color w:val="000000"/>
          <w:sz w:val="24"/>
        </w:rPr>
        <w:t>r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 o Eixo Estratégico “</w:t>
      </w:r>
      <w:r w:rsidR="007A7DDB" w:rsidRPr="007A7DDB">
        <w:rPr>
          <w:rFonts w:ascii="Times New Roman" w:eastAsia="Times New Roman" w:hAnsi="Times New Roman" w:cs="Times New Roman"/>
          <w:color w:val="000000"/>
          <w:sz w:val="24"/>
        </w:rPr>
        <w:t>Sustentabilidade Ambiental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>”, atendendo às diretrizes de planejamento estabelecidas para o período de 2026 a 2029</w:t>
      </w:r>
      <w:r>
        <w:rPr>
          <w:rFonts w:ascii="Times New Roman" w:eastAsia="Times New Roman" w:hAnsi="Times New Roman" w:cs="Times New Roman"/>
          <w:color w:val="000000"/>
          <w:sz w:val="24"/>
        </w:rPr>
        <w:t>, conforme legislação correlata vigente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2C5A610" w14:textId="77777777" w:rsidR="00EE2AAB" w:rsidRPr="00EE2AAB" w:rsidRDefault="00EE2AAB" w:rsidP="00EE2AA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A proposição é imprescindível para assegurar o cumprimento das funções institucionais, legais e constitucionais do </w:t>
      </w:r>
      <w:proofErr w:type="spellStart"/>
      <w:r w:rsidRPr="00EE2AAB">
        <w:rPr>
          <w:rFonts w:ascii="Times New Roman" w:eastAsia="Times New Roman" w:hAnsi="Times New Roman" w:cs="Times New Roman"/>
          <w:color w:val="000000"/>
          <w:sz w:val="24"/>
        </w:rPr>
        <w:t>FUMINEC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>, permitindo a implementação de políticas, programas e iniciativas integradas voltadas a investimentos sustentáveis, negócios ecológicos, economia e mercado de carbono e redução de emissões de gases de efeito estufa (</w:t>
      </w:r>
      <w:proofErr w:type="spellStart"/>
      <w:r w:rsidRPr="00EE2AAB">
        <w:rPr>
          <w:rFonts w:ascii="Times New Roman" w:eastAsia="Times New Roman" w:hAnsi="Times New Roman" w:cs="Times New Roman"/>
          <w:color w:val="000000"/>
          <w:sz w:val="24"/>
        </w:rPr>
        <w:t>GEE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>), incluindo atividades de geração, certificação e comercialização de créditos de carbono. A ampliação dessas ações também viabiliza a realização de investimentos e parcerias estratégicas capazes de impulsionar a transição para uma economia de baixo carbono, em consonância com os compromissos nacionais e internacionais assumidos pelo Brasil no âmbito da agenda climática.</w:t>
      </w:r>
    </w:p>
    <w:p w14:paraId="738061BE" w14:textId="77777777" w:rsidR="00EE2AAB" w:rsidRPr="00EE2AAB" w:rsidRDefault="00EE2AAB" w:rsidP="00EE2AA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Além disso, o Programa compreende ações destinadas a desenvolver, fomentar, promover, incentivar, apoiar tecnicamente e financiar, direta ou indiretamente, outras iniciativas de economia verde, </w:t>
      </w:r>
      <w:proofErr w:type="spellStart"/>
      <w:r w:rsidRPr="00EE2AAB">
        <w:rPr>
          <w:rFonts w:ascii="Times New Roman" w:eastAsia="Times New Roman" w:hAnsi="Times New Roman" w:cs="Times New Roman"/>
          <w:color w:val="000000"/>
          <w:sz w:val="24"/>
        </w:rPr>
        <w:t>bioeconomia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>, energias renováveis, recuperação ambiental e sustentabilidade, bem como ações estratégicas de interesse público relacionadas ao desenvolvimento socioambiental, sempre em observância às normas legais vigentes, às diretrizes do Poder Executivo e às prioridades de planejamento do Município de Parauapebas.</w:t>
      </w:r>
    </w:p>
    <w:p w14:paraId="1F329D21" w14:textId="77777777" w:rsidR="00EE2AAB" w:rsidRPr="00EE2AAB" w:rsidRDefault="00EE2AAB" w:rsidP="00EE2AA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A inclusão das Ações nº 259 e nº 260 é fundamental para garantir a governança, a operacionalização e o pleno funcionamento do </w:t>
      </w:r>
      <w:proofErr w:type="spellStart"/>
      <w:r w:rsidRPr="00EE2AAB">
        <w:rPr>
          <w:rFonts w:ascii="Times New Roman" w:eastAsia="Times New Roman" w:hAnsi="Times New Roman" w:cs="Times New Roman"/>
          <w:color w:val="000000"/>
          <w:sz w:val="24"/>
        </w:rPr>
        <w:t>FUMINEC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 e do Comitê Municipal de Investimentos Sustentáveis, Negócios Ecológicos e Economia de Carbono (</w:t>
      </w:r>
      <w:proofErr w:type="spellStart"/>
      <w:r w:rsidRPr="00EE2AAB">
        <w:rPr>
          <w:rFonts w:ascii="Times New Roman" w:eastAsia="Times New Roman" w:hAnsi="Times New Roman" w:cs="Times New Roman"/>
          <w:color w:val="000000"/>
          <w:sz w:val="24"/>
        </w:rPr>
        <w:t>COMINEC</w:t>
      </w:r>
      <w:proofErr w:type="spellEnd"/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), fortalecendo a capacidade institucional do Município para conceber, gerir e monitorar políticas públicas voltadas à economia verde e ao desenvolvimento sustentável. Essas ações permitirão 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lastRenderedPageBreak/>
        <w:t>aprimorar a gestão administrativa, técnica e orçamentária do Fundo, assegurar a manutenção dos instrumentos de governança, expandir iniciativas de fomento e investimentos e consolidar mecanismos locais de financiamento climático.</w:t>
      </w:r>
    </w:p>
    <w:p w14:paraId="73C2C324" w14:textId="3A0E2FC9" w:rsidR="00EE2AAB" w:rsidRPr="00EE2AAB" w:rsidRDefault="00EE2AAB" w:rsidP="00EE2AA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AAB">
        <w:rPr>
          <w:rFonts w:ascii="Times New Roman" w:eastAsia="Times New Roman" w:hAnsi="Times New Roman" w:cs="Times New Roman"/>
          <w:color w:val="000000"/>
          <w:sz w:val="24"/>
        </w:rPr>
        <w:t xml:space="preserve">Diante do exposto, verifica-se que a presente Emenda representa um avanço significativo nas políticas socioambientais municipais, contribuindo para a estruturação de uma agenda de inovação, sustentabilidade e desenvolvimento econômico alinhada às melhores práticas nacionais e internacionais. A medida reforça o compromisso do Município de Parauapebas com a sustentabilidade, </w:t>
      </w:r>
      <w:r w:rsidR="00404577">
        <w:rPr>
          <w:rFonts w:ascii="Times New Roman" w:eastAsia="Times New Roman" w:hAnsi="Times New Roman" w:cs="Times New Roman"/>
          <w:color w:val="000000"/>
          <w:sz w:val="24"/>
        </w:rPr>
        <w:t>o desenvolvimento socio</w:t>
      </w:r>
      <w:r w:rsidRPr="00EE2AAB">
        <w:rPr>
          <w:rFonts w:ascii="Times New Roman" w:eastAsia="Times New Roman" w:hAnsi="Times New Roman" w:cs="Times New Roman"/>
          <w:color w:val="000000"/>
          <w:sz w:val="24"/>
        </w:rPr>
        <w:t>ambiental e com o bem-estar da população, além de fortalecer sua capacidade de atuação no mercado de carbono e em iniciativas de transição climática justa.</w:t>
      </w:r>
    </w:p>
    <w:p w14:paraId="11C53936" w14:textId="77777777" w:rsidR="00EE2AAB" w:rsidRPr="00EE2AAB" w:rsidRDefault="00EE2AAB" w:rsidP="00EE2AAB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2AAB">
        <w:rPr>
          <w:rFonts w:ascii="Times New Roman" w:eastAsia="Times New Roman" w:hAnsi="Times New Roman" w:cs="Times New Roman"/>
          <w:color w:val="000000"/>
          <w:sz w:val="24"/>
        </w:rPr>
        <w:t>Considerando a relevância e a urgência da matéria, solicitamos o apoio dos nobres Vereadores para a aprovação da presente Emenda.</w:t>
      </w:r>
    </w:p>
    <w:p w14:paraId="56B53E64" w14:textId="56895942" w:rsidR="003915AD" w:rsidRDefault="00312D66" w:rsidP="006873A5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Parauapebas</w:t>
      </w:r>
      <w:r w:rsidR="00404577">
        <w:rPr>
          <w:rFonts w:ascii="Times New Roman" w:eastAsia="Times New Roman" w:hAnsi="Times New Roman" w:cs="Times New Roman"/>
          <w:sz w:val="24"/>
          <w:szCs w:val="24"/>
        </w:rPr>
        <w:t>/PA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05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0059A">
        <w:rPr>
          <w:rFonts w:ascii="Times New Roman" w:eastAsia="Times New Roman" w:hAnsi="Times New Roman" w:cs="Times New Roman"/>
          <w:sz w:val="24"/>
          <w:szCs w:val="24"/>
        </w:rPr>
        <w:t xml:space="preserve">dezembro </w:t>
      </w:r>
      <w:r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0227616B" w14:textId="77777777" w:rsidR="003915AD" w:rsidRDefault="003915AD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0E63E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D9DFC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0268B" w14:textId="3D711845" w:rsidR="0063154F" w:rsidRDefault="00B117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ANDERSON MARCOS MORATO</w:t>
      </w:r>
      <w:r w:rsidR="0063154F" w:rsidRPr="0063154F">
        <w:rPr>
          <w:rFonts w:ascii="Times New Roman" w:eastAsia="Times New Roman" w:hAnsi="Times New Roman" w:cs="Times New Roman"/>
          <w:b/>
          <w:sz w:val="24"/>
          <w:szCs w:val="24"/>
        </w:rPr>
        <w:t xml:space="preserve">RIO </w:t>
      </w:r>
    </w:p>
    <w:p w14:paraId="2ED936EE" w14:textId="6442A045" w:rsidR="003915AD" w:rsidRDefault="00312D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- P</w:t>
      </w:r>
      <w:r w:rsidR="0063154F">
        <w:rPr>
          <w:rFonts w:ascii="Times New Roman" w:eastAsia="Times New Roman" w:hAnsi="Times New Roman" w:cs="Times New Roman"/>
          <w:b/>
          <w:sz w:val="24"/>
          <w:szCs w:val="24"/>
        </w:rPr>
        <w:t>RD</w:t>
      </w:r>
    </w:p>
    <w:p w14:paraId="5E1D24B3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5C883" w14:textId="77777777" w:rsidR="003915AD" w:rsidRDefault="003915AD"/>
    <w:sectPr w:rsidR="003915A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71E4F" w14:textId="77777777" w:rsidR="004F58E2" w:rsidRDefault="004F58E2">
      <w:pPr>
        <w:spacing w:line="240" w:lineRule="auto"/>
      </w:pPr>
      <w:r>
        <w:separator/>
      </w:r>
    </w:p>
  </w:endnote>
  <w:endnote w:type="continuationSeparator" w:id="0">
    <w:p w14:paraId="6D32252C" w14:textId="77777777" w:rsidR="004F58E2" w:rsidRDefault="004F5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D608" w14:textId="77777777" w:rsidR="003915AD" w:rsidRDefault="003915AD">
    <w:pPr>
      <w:pBdr>
        <w:bottom w:val="single" w:sz="6" w:space="1" w:color="000000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6519EDF6" w14:textId="77777777" w:rsidR="003915AD" w:rsidRDefault="00312D66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2ECAD65A" w14:textId="77777777" w:rsidR="003915AD" w:rsidRDefault="00312D66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CEP: 68.515-000 / TELEFONE DO GABINETE: (94) 3346-3914</w:t>
    </w:r>
  </w:p>
  <w:p w14:paraId="368E0852" w14:textId="77777777" w:rsidR="003915AD" w:rsidRDefault="003915A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ED29" w14:textId="77777777" w:rsidR="004F58E2" w:rsidRDefault="004F58E2">
      <w:pPr>
        <w:spacing w:line="240" w:lineRule="auto"/>
      </w:pPr>
      <w:r>
        <w:separator/>
      </w:r>
    </w:p>
  </w:footnote>
  <w:footnote w:type="continuationSeparator" w:id="0">
    <w:p w14:paraId="763B38B9" w14:textId="77777777" w:rsidR="004F58E2" w:rsidRDefault="004F5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6708" w14:textId="77777777" w:rsidR="003915AD" w:rsidRDefault="00312D66">
    <w:r>
      <w:rPr>
        <w:noProof/>
      </w:rPr>
      <w:drawing>
        <wp:anchor distT="0" distB="0" distL="0" distR="0" simplePos="0" relativeHeight="3" behindDoc="1" locked="0" layoutInCell="1" allowOverlap="1" wp14:anchorId="2652993B" wp14:editId="11A58BEA">
          <wp:simplePos x="0" y="0"/>
          <wp:positionH relativeFrom="margin">
            <wp:posOffset>2515119</wp:posOffset>
          </wp:positionH>
          <wp:positionV relativeFrom="page">
            <wp:posOffset>106149</wp:posOffset>
          </wp:positionV>
          <wp:extent cx="681355" cy="68135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98922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66529" w14:textId="77777777" w:rsidR="003915AD" w:rsidRDefault="003915AD">
    <w:pPr>
      <w:spacing w:line="240" w:lineRule="auto"/>
      <w:jc w:val="center"/>
    </w:pPr>
  </w:p>
  <w:p w14:paraId="0BDAFFF5" w14:textId="77777777" w:rsidR="003915AD" w:rsidRDefault="00312D66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6B9A180B" w14:textId="77777777" w:rsidR="003915AD" w:rsidRDefault="00312D66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11994720" w14:textId="77777777" w:rsidR="003915AD" w:rsidRDefault="00312D66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404A441B" w14:textId="22D8F3C2" w:rsidR="003915AD" w:rsidRDefault="00312D66">
    <w:pPr>
      <w:pBdr>
        <w:bottom w:val="single" w:sz="6" w:space="1" w:color="000000"/>
      </w:pBdr>
      <w:spacing w:after="283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GABINETE DO VEREADOR </w:t>
    </w:r>
    <w:bookmarkStart w:id="1" w:name="_Hlk216021005"/>
    <w:r w:rsidR="00856A5F">
      <w:rPr>
        <w:rFonts w:ascii="Times New Roman" w:eastAsia="Times New Roman" w:hAnsi="Times New Roman" w:cs="Times New Roman"/>
        <w:b/>
        <w:sz w:val="24"/>
        <w:szCs w:val="24"/>
      </w:rPr>
      <w:t xml:space="preserve">ANDERSON MARCOS </w:t>
    </w:r>
    <w:proofErr w:type="spellStart"/>
    <w:r w:rsidR="00856A5F">
      <w:rPr>
        <w:rFonts w:ascii="Times New Roman" w:eastAsia="Times New Roman" w:hAnsi="Times New Roman" w:cs="Times New Roman"/>
        <w:b/>
        <w:sz w:val="24"/>
        <w:szCs w:val="24"/>
      </w:rPr>
      <w:t>MORATO</w:t>
    </w:r>
    <w:r w:rsidR="00235AE6">
      <w:rPr>
        <w:rFonts w:ascii="Times New Roman" w:eastAsia="Times New Roman" w:hAnsi="Times New Roman" w:cs="Times New Roman"/>
        <w:b/>
        <w:sz w:val="24"/>
        <w:szCs w:val="24"/>
      </w:rPr>
      <w:t>RIO</w:t>
    </w:r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899"/>
    <w:multiLevelType w:val="hybridMultilevel"/>
    <w:tmpl w:val="74348D30"/>
    <w:lvl w:ilvl="0" w:tplc="07BE733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5991"/>
    <w:multiLevelType w:val="hybridMultilevel"/>
    <w:tmpl w:val="FA46FEF4"/>
    <w:lvl w:ilvl="0" w:tplc="4882397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E25"/>
    <w:multiLevelType w:val="hybridMultilevel"/>
    <w:tmpl w:val="FA90F848"/>
    <w:lvl w:ilvl="0" w:tplc="510EE32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AD"/>
    <w:rsid w:val="0002406B"/>
    <w:rsid w:val="000476E9"/>
    <w:rsid w:val="000B233F"/>
    <w:rsid w:val="001D2312"/>
    <w:rsid w:val="001E170B"/>
    <w:rsid w:val="00204E42"/>
    <w:rsid w:val="00235AE6"/>
    <w:rsid w:val="00294A2E"/>
    <w:rsid w:val="002C7213"/>
    <w:rsid w:val="002C75D6"/>
    <w:rsid w:val="002D3162"/>
    <w:rsid w:val="00312D66"/>
    <w:rsid w:val="003915AD"/>
    <w:rsid w:val="00392453"/>
    <w:rsid w:val="00396D38"/>
    <w:rsid w:val="00404577"/>
    <w:rsid w:val="00411797"/>
    <w:rsid w:val="00414049"/>
    <w:rsid w:val="00427336"/>
    <w:rsid w:val="004322D8"/>
    <w:rsid w:val="00497942"/>
    <w:rsid w:val="004F58E2"/>
    <w:rsid w:val="0050059A"/>
    <w:rsid w:val="00570563"/>
    <w:rsid w:val="005907B7"/>
    <w:rsid w:val="00592717"/>
    <w:rsid w:val="005A19F0"/>
    <w:rsid w:val="005D535E"/>
    <w:rsid w:val="0063154F"/>
    <w:rsid w:val="00652ADA"/>
    <w:rsid w:val="006873A5"/>
    <w:rsid w:val="0074217D"/>
    <w:rsid w:val="007A7DDB"/>
    <w:rsid w:val="007B7767"/>
    <w:rsid w:val="00826D73"/>
    <w:rsid w:val="0085089F"/>
    <w:rsid w:val="00856A5F"/>
    <w:rsid w:val="008903FF"/>
    <w:rsid w:val="008B1EE2"/>
    <w:rsid w:val="008C61A8"/>
    <w:rsid w:val="008D4B32"/>
    <w:rsid w:val="00920930"/>
    <w:rsid w:val="00942AA2"/>
    <w:rsid w:val="009A4477"/>
    <w:rsid w:val="00A212F7"/>
    <w:rsid w:val="00A51226"/>
    <w:rsid w:val="00AE4155"/>
    <w:rsid w:val="00B117D2"/>
    <w:rsid w:val="00B15ED7"/>
    <w:rsid w:val="00B92A3F"/>
    <w:rsid w:val="00BE7352"/>
    <w:rsid w:val="00C454BB"/>
    <w:rsid w:val="00C52EB7"/>
    <w:rsid w:val="00CA1A7B"/>
    <w:rsid w:val="00CA3799"/>
    <w:rsid w:val="00D043AD"/>
    <w:rsid w:val="00D05C17"/>
    <w:rsid w:val="00D207B9"/>
    <w:rsid w:val="00D819C8"/>
    <w:rsid w:val="00DD03F1"/>
    <w:rsid w:val="00EC1411"/>
    <w:rsid w:val="00EE2AAB"/>
    <w:rsid w:val="00F14334"/>
    <w:rsid w:val="00F7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FCE2"/>
  <w15:docId w15:val="{07EF073E-8183-47C2-B534-072FF16D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1549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cp:keywords/>
  <dc:description/>
  <cp:lastModifiedBy>Douglas Vaz</cp:lastModifiedBy>
  <cp:revision>2</cp:revision>
  <dcterms:created xsi:type="dcterms:W3CDTF">2025-12-13T02:21:00Z</dcterms:created>
  <dcterms:modified xsi:type="dcterms:W3CDTF">2025-12-13T02:21:00Z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