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7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438/202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  <w:r/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7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>
        <w:rPr>
          <w:rFonts w:ascii="Arial" w:hAnsi="Arial" w:eastAsia="Arial" w:cs="Arial"/>
        </w:rPr>
        <w:t xml:space="preserve">para a prestação de serviços voltados a realização de programas, eventos e ações culturais, promovendo festividades tradicionais e mostra culturais.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Bancada.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eastAsia="Arial" w:cs="Arial"/>
          <w:b/>
          <w:bCs/>
        </w:rPr>
        <w:t xml:space="preserve">COOPERATIVA DOS ARTESÃOS DA REGIÃO DE CARAJÁS– MULHERES DE BARRO</w:t>
      </w:r>
      <w:r>
        <w:rPr>
          <w:rFonts w:ascii="Arial" w:hAnsi="Arial" w:cs="Arial"/>
          <w:b/>
          <w:bCs/>
        </w:rPr>
        <w:t xml:space="preserve">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CNPJ: </w:t>
      </w:r>
      <w:r>
        <w:rPr>
          <w:rFonts w:ascii="Arial" w:hAnsi="Arial" w:eastAsia="Arial" w:cs="Arial"/>
          <w:b/>
          <w:bCs/>
        </w:rPr>
        <w:t xml:space="preserve">18.816.035/0001-69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culturais</w:t>
      </w:r>
      <w:r>
        <w:t xml:space="preserve">.</w:t>
      </w:r>
      <w:r/>
    </w:p>
    <w:p>
      <w:pPr>
        <w:pBdr/>
        <w:spacing w:after="200" w:before="120"/>
        <w:ind/>
        <w:jc w:val="both"/>
        <w:rPr>
          <w:color w:val="auto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eastAsia="Arial" w:cs="Arial"/>
          <w:b/>
          <w:bCs/>
        </w:rPr>
        <w:t xml:space="preserve">COOPERATIVA DOS ARTESÃOS DA REGIÃO DE CARAJÁS– MULHERES DE BARRO</w:t>
      </w:r>
      <w:r>
        <w:rPr>
          <w:rFonts w:ascii="Arial" w:hAnsi="Arial" w:cs="Arial"/>
          <w:color w:val="000000"/>
        </w:rPr>
        <w:t xml:space="preserve">, entidade civil sem fins lucrativos, com vasta experiência no atendimento à</w:t>
      </w:r>
      <w:r>
        <w:rPr>
          <w:rFonts w:ascii="Arial" w:hAnsi="Arial" w:cs="Arial"/>
          <w:color w:val="000000"/>
        </w:rPr>
        <w:t xml:space="preserve">s</w:t>
      </w:r>
      <w:r>
        <w:rPr>
          <w:rFonts w:ascii="Arial" w:hAnsi="Arial" w:cs="Arial"/>
          <w:color w:val="000000"/>
        </w:rPr>
        <w:t xml:space="preserve"> atividades </w:t>
      </w:r>
      <w:r>
        <w:rPr>
          <w:rFonts w:ascii="Arial" w:hAnsi="Arial" w:cs="Arial"/>
          <w:color w:val="auto"/>
        </w:rPr>
        <w:t xml:space="preserve">voltadas a cultura.</w:t>
      </w:r>
      <w:r>
        <w:rPr>
          <w:color w:val="auto"/>
        </w:rPr>
      </w:r>
      <w:r>
        <w:rPr>
          <w:color w:val="auto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4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4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>
        <w:rPr>
          <w:rFonts w:ascii="Arial" w:hAnsi="Arial" w:eastAsia="Arial" w:cs="Arial"/>
          <w:b/>
          <w:bCs/>
        </w:rPr>
        <w:t xml:space="preserve">COOPERATIVA DOS ARTESÃOS DA REGIÃO DE CARAJÁS– MULHERES DE BARRO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4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ee0000"/>
        </w:rPr>
        <w:t xml:space="preserve">5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b/>
          <w:bCs/>
          <w:color w:val="ee0000"/>
        </w:rPr>
        <w:t xml:space="preserve">10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R$</w:t>
      </w:r>
      <w:r>
        <w:rPr>
          <w:rFonts w:ascii="Arial" w:hAnsi="Arial" w:cs="Arial"/>
          <w:b/>
          <w:bCs/>
          <w:color w:val="auto"/>
        </w:rPr>
        <w:t xml:space="preserve"> 100.000,00</w:t>
      </w:r>
      <w:r>
        <w:rPr>
          <w:rFonts w:ascii="Arial" w:hAnsi="Arial" w:cs="Arial"/>
          <w:color w:val="000000"/>
        </w:rPr>
        <w:t xml:space="preserve"> ( cem mil reais  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culturais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  <w:r/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R$:100.000,00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INSERIDA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Cultura - SECULT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Cultura - SECULT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13.392.6057.2.048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Realização dos programas de eventos e ações culturais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R$:100.000,00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eastAsia="Leelawadee" w:cs="Leelawadee"/>
          <w:b/>
          <w:sz w:val="24"/>
          <w:szCs w:val="24"/>
        </w:rPr>
      </w:r>
      <w:r>
        <w:rPr>
          <w:rFonts w:ascii="Leelawadee" w:hAnsi="Leelawadee" w:cs="Leelawadee"/>
          <w:b/>
          <w:sz w:val="24"/>
          <w:szCs w:val="24"/>
        </w:rPr>
      </w:r>
      <w:r>
        <w:rPr>
          <w:rFonts w:ascii="Leelawadee" w:hAnsi="Leelawadee" w:cs="Leelawadee"/>
          <w:b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eelawadee">
    <w:panose1 w:val="020B0502040204020203"/>
  </w:font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42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2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2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>
      <w:t xml:space="preserve">ESTADO DO PARA</w:t>
    </w:r>
    <w:r/>
  </w:p>
  <w:p>
    <w:pPr>
      <w:pStyle w:val="1044"/>
      <w:pBdr/>
      <w:spacing/>
      <w:ind/>
      <w:jc w:val="center"/>
      <w:rPr/>
    </w:pPr>
    <w:r>
      <w:t xml:space="preserve">PODER LEGISLATIVO</w:t>
    </w:r>
    <w:r/>
  </w:p>
  <w:p>
    <w:pPr>
      <w:pStyle w:val="1044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44"/>
      <w:pBdr/>
      <w:spacing/>
      <w:ind/>
      <w:jc w:val="center"/>
      <w:rPr/>
    </w:pPr>
    <w:r>
      <w:t xml:space="preserve">BANCADA PARLAMENTAR - AVANTE</w:t>
    </w:r>
    <w:r/>
  </w:p>
  <w:p>
    <w:pPr>
      <w:pStyle w:val="10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7"/>
    <w:lvl w:ilvl="0">
      <w:isLgl w:val="false"/>
      <w:lvlJc w:val="left"/>
      <w:lvlText w:val=""/>
      <w:numFmt w:val="bullet"/>
      <w:pPr>
        <w:pBdr/>
        <w:spacing/>
        <w:ind/>
      </w:pPr>
      <w:pStyle w:val="1067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8"/>
    <w:lvl w:ilvl="0">
      <w:isLgl w:val="false"/>
      <w:lvlJc w:val="left"/>
      <w:lvlText w:val="%1 -"/>
      <w:numFmt w:val="upperRoman"/>
      <w:pPr>
        <w:pBdr/>
        <w:spacing/>
        <w:ind/>
      </w:pPr>
      <w:pStyle w:val="106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 Light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Heading 1"/>
    <w:basedOn w:val="1023"/>
    <w:next w:val="1023"/>
    <w:link w:val="9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3">
    <w:name w:val="Heading 2"/>
    <w:basedOn w:val="1023"/>
    <w:next w:val="1023"/>
    <w:link w:val="9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4">
    <w:name w:val="Heading 3"/>
    <w:basedOn w:val="1023"/>
    <w:next w:val="1023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5">
    <w:name w:val="Heading 4"/>
    <w:basedOn w:val="1023"/>
    <w:next w:val="1023"/>
    <w:link w:val="9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6">
    <w:name w:val="Heading 5"/>
    <w:basedOn w:val="1023"/>
    <w:next w:val="1023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7">
    <w:name w:val="Heading 6"/>
    <w:basedOn w:val="1023"/>
    <w:next w:val="1023"/>
    <w:link w:val="9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8">
    <w:name w:val="Heading 7"/>
    <w:basedOn w:val="1023"/>
    <w:next w:val="1023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9">
    <w:name w:val="Heading 8"/>
    <w:basedOn w:val="1023"/>
    <w:next w:val="1023"/>
    <w:link w:val="9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Heading 9"/>
    <w:basedOn w:val="1023"/>
    <w:next w:val="1023"/>
    <w:link w:val="9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1 Char"/>
    <w:basedOn w:val="1024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2">
    <w:name w:val="Heading 2 Char"/>
    <w:basedOn w:val="1024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3">
    <w:name w:val="Heading 3 Char"/>
    <w:basedOn w:val="1024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4">
    <w:name w:val="Heading 4 Char"/>
    <w:basedOn w:val="1024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5">
    <w:name w:val="Heading 5 Char"/>
    <w:basedOn w:val="1024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6">
    <w:name w:val="Heading 6 Char"/>
    <w:basedOn w:val="1024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7">
    <w:name w:val="Heading 7 Char"/>
    <w:basedOn w:val="1024"/>
    <w:link w:val="9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8">
    <w:name w:val="Heading 8 Char"/>
    <w:basedOn w:val="1024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9 Char"/>
    <w:basedOn w:val="1024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0">
    <w:name w:val="Title"/>
    <w:basedOn w:val="1023"/>
    <w:next w:val="1023"/>
    <w:link w:val="9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1">
    <w:name w:val="Title Char"/>
    <w:basedOn w:val="1024"/>
    <w:link w:val="9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Subtitle Char"/>
    <w:basedOn w:val="1024"/>
    <w:link w:val="10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23"/>
    <w:next w:val="1023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4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5">
    <w:name w:val="List Paragraph"/>
    <w:basedOn w:val="1023"/>
    <w:uiPriority w:val="34"/>
    <w:qFormat/>
    <w:pPr>
      <w:pBdr/>
      <w:spacing/>
      <w:ind w:left="720"/>
      <w:contextualSpacing w:val="true"/>
    </w:pPr>
  </w:style>
  <w:style w:type="character" w:styleId="996">
    <w:name w:val="Intense Emphasis"/>
    <w:basedOn w:val="10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7">
    <w:name w:val="Intense Quote"/>
    <w:basedOn w:val="1023"/>
    <w:next w:val="1023"/>
    <w:link w:val="9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8">
    <w:name w:val="Intense Quote Char"/>
    <w:basedOn w:val="1024"/>
    <w:link w:val="9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9">
    <w:name w:val="Intense Reference"/>
    <w:basedOn w:val="10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0">
    <w:name w:val="Subtle Emphasis"/>
    <w:basedOn w:val="10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Emphasis"/>
    <w:basedOn w:val="1024"/>
    <w:uiPriority w:val="20"/>
    <w:qFormat/>
    <w:pPr>
      <w:pBdr/>
      <w:spacing/>
      <w:ind/>
    </w:pPr>
    <w:rPr>
      <w:i/>
      <w:iCs/>
    </w:rPr>
  </w:style>
  <w:style w:type="character" w:styleId="1002">
    <w:name w:val="Strong"/>
    <w:basedOn w:val="1024"/>
    <w:uiPriority w:val="22"/>
    <w:qFormat/>
    <w:pPr>
      <w:pBdr/>
      <w:spacing/>
      <w:ind/>
    </w:pPr>
    <w:rPr>
      <w:b/>
      <w:bCs/>
    </w:rPr>
  </w:style>
  <w:style w:type="character" w:styleId="1003">
    <w:name w:val="Subtle Reference"/>
    <w:basedOn w:val="10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4">
    <w:name w:val="Book Title"/>
    <w:basedOn w:val="10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5">
    <w:name w:val="Header Char"/>
    <w:basedOn w:val="1024"/>
    <w:link w:val="1033"/>
    <w:uiPriority w:val="99"/>
    <w:pPr>
      <w:pBdr/>
      <w:spacing/>
      <w:ind/>
    </w:pPr>
  </w:style>
  <w:style w:type="character" w:styleId="1006">
    <w:name w:val="Footer Char"/>
    <w:basedOn w:val="1024"/>
    <w:link w:val="1034"/>
    <w:uiPriority w:val="99"/>
    <w:pPr>
      <w:pBdr/>
      <w:spacing/>
      <w:ind/>
    </w:pPr>
  </w:style>
  <w:style w:type="character" w:styleId="1007">
    <w:name w:val="Footnote Text Char"/>
    <w:basedOn w:val="1024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1008">
    <w:name w:val="endnote text"/>
    <w:basedOn w:val="1023"/>
    <w:link w:val="10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9">
    <w:name w:val="Endnote Text Char"/>
    <w:basedOn w:val="1024"/>
    <w:link w:val="1008"/>
    <w:uiPriority w:val="99"/>
    <w:semiHidden/>
    <w:pPr>
      <w:pBdr/>
      <w:spacing/>
      <w:ind/>
    </w:pPr>
    <w:rPr>
      <w:sz w:val="20"/>
      <w:szCs w:val="20"/>
    </w:rPr>
  </w:style>
  <w:style w:type="character" w:styleId="1010">
    <w:name w:val="end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paragraph" w:styleId="1011">
    <w:name w:val="toc 1"/>
    <w:basedOn w:val="1023"/>
    <w:next w:val="1023"/>
    <w:uiPriority w:val="39"/>
    <w:unhideWhenUsed/>
    <w:pPr>
      <w:pBdr/>
      <w:spacing w:after="100"/>
      <w:ind/>
    </w:pPr>
  </w:style>
  <w:style w:type="paragraph" w:styleId="1012">
    <w:name w:val="toc 2"/>
    <w:basedOn w:val="1023"/>
    <w:next w:val="1023"/>
    <w:uiPriority w:val="39"/>
    <w:unhideWhenUsed/>
    <w:pPr>
      <w:pBdr/>
      <w:spacing w:after="100"/>
      <w:ind w:left="220"/>
    </w:pPr>
  </w:style>
  <w:style w:type="paragraph" w:styleId="1013">
    <w:name w:val="toc 3"/>
    <w:basedOn w:val="1023"/>
    <w:next w:val="1023"/>
    <w:uiPriority w:val="39"/>
    <w:unhideWhenUsed/>
    <w:pPr>
      <w:pBdr/>
      <w:spacing w:after="100"/>
      <w:ind w:left="440"/>
    </w:pPr>
  </w:style>
  <w:style w:type="paragraph" w:styleId="1014">
    <w:name w:val="toc 4"/>
    <w:basedOn w:val="1023"/>
    <w:next w:val="1023"/>
    <w:uiPriority w:val="39"/>
    <w:unhideWhenUsed/>
    <w:pPr>
      <w:pBdr/>
      <w:spacing w:after="100"/>
      <w:ind w:left="660"/>
    </w:pPr>
  </w:style>
  <w:style w:type="paragraph" w:styleId="1015">
    <w:name w:val="toc 5"/>
    <w:basedOn w:val="1023"/>
    <w:next w:val="1023"/>
    <w:uiPriority w:val="39"/>
    <w:unhideWhenUsed/>
    <w:pPr>
      <w:pBdr/>
      <w:spacing w:after="100"/>
      <w:ind w:left="880"/>
    </w:pPr>
  </w:style>
  <w:style w:type="paragraph" w:styleId="1016">
    <w:name w:val="toc 6"/>
    <w:basedOn w:val="1023"/>
    <w:next w:val="1023"/>
    <w:uiPriority w:val="39"/>
    <w:unhideWhenUsed/>
    <w:pPr>
      <w:pBdr/>
      <w:spacing w:after="100"/>
      <w:ind w:left="1100"/>
    </w:pPr>
  </w:style>
  <w:style w:type="paragraph" w:styleId="1017">
    <w:name w:val="toc 7"/>
    <w:basedOn w:val="1023"/>
    <w:next w:val="1023"/>
    <w:uiPriority w:val="39"/>
    <w:unhideWhenUsed/>
    <w:pPr>
      <w:pBdr/>
      <w:spacing w:after="100"/>
      <w:ind w:left="1320"/>
    </w:pPr>
  </w:style>
  <w:style w:type="paragraph" w:styleId="1018">
    <w:name w:val="toc 8"/>
    <w:basedOn w:val="1023"/>
    <w:next w:val="1023"/>
    <w:uiPriority w:val="39"/>
    <w:unhideWhenUsed/>
    <w:pPr>
      <w:pBdr/>
      <w:spacing w:after="100"/>
      <w:ind w:left="1540"/>
    </w:pPr>
  </w:style>
  <w:style w:type="paragraph" w:styleId="1019">
    <w:name w:val="toc 9"/>
    <w:basedOn w:val="1023"/>
    <w:next w:val="1023"/>
    <w:uiPriority w:val="39"/>
    <w:unhideWhenUsed/>
    <w:pPr>
      <w:pBdr/>
      <w:spacing w:after="100"/>
      <w:ind w:left="1760"/>
    </w:pPr>
  </w:style>
  <w:style w:type="character" w:styleId="1020">
    <w:name w:val="Placeholder Text"/>
    <w:basedOn w:val="1024"/>
    <w:uiPriority w:val="99"/>
    <w:semiHidden/>
    <w:pPr>
      <w:pBdr/>
      <w:spacing/>
      <w:ind/>
    </w:pPr>
    <w:rPr>
      <w:color w:val="666666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1023"/>
    <w:next w:val="1023"/>
    <w:uiPriority w:val="99"/>
    <w:unhideWhenUsed/>
    <w:pPr>
      <w:pBdr/>
      <w:spacing w:after="0" w:afterAutospacing="0"/>
      <w:ind/>
    </w:pPr>
  </w:style>
  <w:style w:type="paragraph" w:styleId="1023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4" w:default="1">
    <w:name w:val="Default Paragraph Font"/>
    <w:uiPriority w:val="1"/>
    <w:semiHidden/>
    <w:unhideWhenUsed/>
    <w:pPr>
      <w:pBdr/>
      <w:spacing/>
      <w:ind/>
    </w:pPr>
  </w:style>
  <w:style w:type="table" w:styleId="10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default="1">
    <w:name w:val="No List"/>
    <w:uiPriority w:val="99"/>
    <w:semiHidden/>
    <w:unhideWhenUsed/>
    <w:pPr>
      <w:pBdr/>
      <w:spacing/>
      <w:ind/>
    </w:pPr>
  </w:style>
  <w:style w:type="paragraph" w:styleId="1027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8" w:customStyle="1">
    <w:name w:val="Heading"/>
    <w:basedOn w:val="1027"/>
    <w:next w:val="1029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29" w:customStyle="1">
    <w:name w:val="Text body"/>
    <w:basedOn w:val="1027"/>
    <w:pPr>
      <w:pBdr/>
      <w:spacing w:after="120"/>
      <w:ind/>
    </w:pPr>
  </w:style>
  <w:style w:type="paragraph" w:styleId="1030">
    <w:name w:val="List"/>
    <w:basedOn w:val="1029"/>
    <w:pPr>
      <w:pBdr/>
      <w:spacing/>
      <w:ind/>
    </w:pPr>
    <w:rPr>
      <w:rFonts w:cs="Lohit Hindi"/>
      <w:sz w:val="24"/>
    </w:rPr>
  </w:style>
  <w:style w:type="paragraph" w:styleId="1031">
    <w:name w:val="Caption"/>
    <w:basedOn w:val="1027"/>
    <w:next w:val="1027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2" w:customStyle="1">
    <w:name w:val="Index"/>
    <w:basedOn w:val="1027"/>
    <w:pPr>
      <w:suppressLineNumbers w:val="true"/>
      <w:pBdr/>
      <w:spacing/>
      <w:ind/>
    </w:pPr>
    <w:rPr>
      <w:rFonts w:cs="Lohit Hindi"/>
      <w:sz w:val="24"/>
    </w:rPr>
  </w:style>
  <w:style w:type="paragraph" w:styleId="1033">
    <w:name w:val="Head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4">
    <w:name w:val="Foot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Balloon Text"/>
    <w:basedOn w:val="1027"/>
    <w:pPr>
      <w:pBdr/>
      <w:spacing/>
      <w:ind/>
    </w:pPr>
    <w:rPr>
      <w:rFonts w:ascii="Tahoma" w:hAnsi="Tahoma" w:cs="Tahoma"/>
      <w:sz w:val="16"/>
      <w:szCs w:val="16"/>
    </w:rPr>
  </w:style>
  <w:style w:type="paragraph" w:styleId="1036">
    <w:name w:val="Body Text 3"/>
    <w:basedOn w:val="1027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7">
    <w:name w:val="Normal (Web)"/>
    <w:basedOn w:val="1027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8">
    <w:name w:val="Subtitle"/>
    <w:basedOn w:val="1027"/>
    <w:next w:val="1027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39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0" w:customStyle="1">
    <w:name w:val="Table Contents"/>
    <w:basedOn w:val="1027"/>
    <w:pPr>
      <w:suppressLineNumbers w:val="true"/>
      <w:pBdr/>
      <w:spacing/>
      <w:ind/>
    </w:pPr>
  </w:style>
  <w:style w:type="paragraph" w:styleId="1041" w:customStyle="1">
    <w:name w:val="Table Heading"/>
    <w:basedOn w:val="1040"/>
    <w:pPr>
      <w:pBdr/>
      <w:spacing/>
      <w:ind/>
      <w:jc w:val="center"/>
    </w:pPr>
    <w:rPr>
      <w:b/>
      <w:bCs/>
    </w:rPr>
  </w:style>
  <w:style w:type="paragraph" w:styleId="1042">
    <w:name w:val="footnote text"/>
    <w:basedOn w:val="1023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3" w:customStyle="1">
    <w:name w:val="Footnote"/>
    <w:basedOn w:val="1027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4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5" w:customStyle="1">
    <w:name w:val="WW8Num1z0"/>
    <w:pPr>
      <w:pBdr/>
      <w:spacing/>
      <w:ind/>
    </w:pPr>
    <w:rPr>
      <w:rFonts w:ascii="Symbol" w:hAnsi="Symbol" w:cs="Symbol"/>
    </w:rPr>
  </w:style>
  <w:style w:type="character" w:styleId="1046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8" w:customStyle="1">
    <w:name w:val="WW8Num2z0"/>
    <w:pPr>
      <w:pBdr/>
      <w:spacing/>
      <w:ind/>
    </w:pPr>
  </w:style>
  <w:style w:type="character" w:styleId="1049" w:customStyle="1">
    <w:name w:val="WW8Num2z1"/>
    <w:pPr>
      <w:pBdr/>
      <w:spacing/>
      <w:ind/>
    </w:pPr>
  </w:style>
  <w:style w:type="character" w:styleId="1050" w:customStyle="1">
    <w:name w:val="WW8Num2z2"/>
    <w:pPr>
      <w:pBdr/>
      <w:spacing/>
      <w:ind/>
    </w:pPr>
  </w:style>
  <w:style w:type="character" w:styleId="1051" w:customStyle="1">
    <w:name w:val="WW8Num2z3"/>
    <w:pPr>
      <w:pBdr/>
      <w:spacing/>
      <w:ind/>
    </w:pPr>
  </w:style>
  <w:style w:type="character" w:styleId="1052" w:customStyle="1">
    <w:name w:val="WW8Num2z4"/>
    <w:pPr>
      <w:pBdr/>
      <w:spacing/>
      <w:ind/>
    </w:pPr>
  </w:style>
  <w:style w:type="character" w:styleId="1053" w:customStyle="1">
    <w:name w:val="WW8Num2z5"/>
    <w:pPr>
      <w:pBdr/>
      <w:spacing/>
      <w:ind/>
    </w:pPr>
  </w:style>
  <w:style w:type="character" w:styleId="1054" w:customStyle="1">
    <w:name w:val="WW8Num2z6"/>
    <w:pPr>
      <w:pBdr/>
      <w:spacing/>
      <w:ind/>
    </w:pPr>
  </w:style>
  <w:style w:type="character" w:styleId="1055" w:customStyle="1">
    <w:name w:val="WW8Num2z7"/>
    <w:pPr>
      <w:pBdr/>
      <w:spacing/>
      <w:ind/>
    </w:pPr>
  </w:style>
  <w:style w:type="character" w:styleId="1056" w:customStyle="1">
    <w:name w:val="WW8Num2z8"/>
    <w:pPr>
      <w:pBdr/>
      <w:spacing/>
      <w:ind/>
    </w:pPr>
  </w:style>
  <w:style w:type="character" w:styleId="1057" w:customStyle="1">
    <w:name w:val="Strong Emphasis"/>
    <w:pPr>
      <w:pBdr/>
      <w:spacing/>
      <w:ind/>
    </w:pPr>
    <w:rPr>
      <w:b/>
      <w:bCs/>
    </w:rPr>
  </w:style>
  <w:style w:type="character" w:styleId="1058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59" w:customStyle="1">
    <w:name w:val="highlightedsearchterm"/>
    <w:basedOn w:val="1024"/>
    <w:pPr>
      <w:pBdr/>
      <w:spacing/>
      <w:ind/>
    </w:pPr>
  </w:style>
  <w:style w:type="character" w:styleId="1060" w:customStyle="1">
    <w:name w:val="Internet link"/>
    <w:pPr>
      <w:pBdr/>
      <w:spacing/>
      <w:ind/>
    </w:pPr>
    <w:rPr>
      <w:color w:val="0000ff"/>
      <w:u w:val="single"/>
    </w:rPr>
  </w:style>
  <w:style w:type="character" w:styleId="1061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2">
    <w:name w:val="Hyperlink"/>
    <w:pPr>
      <w:pBdr/>
      <w:spacing/>
      <w:ind/>
    </w:pPr>
    <w:rPr>
      <w:color w:val="0000ff"/>
      <w:u w:val="single"/>
    </w:rPr>
  </w:style>
  <w:style w:type="character" w:styleId="1063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4">
    <w:name w:val="footnote reference"/>
    <w:pPr>
      <w:pBdr/>
      <w:spacing/>
      <w:ind/>
    </w:pPr>
    <w:rPr>
      <w:position w:val="0"/>
      <w:vertAlign w:val="superscript"/>
    </w:rPr>
  </w:style>
  <w:style w:type="character" w:styleId="1065" w:customStyle="1">
    <w:name w:val="Footnote Symbol"/>
    <w:pPr>
      <w:pBdr/>
      <w:spacing/>
      <w:ind/>
    </w:pPr>
  </w:style>
  <w:style w:type="table" w:styleId="1066">
    <w:name w:val="Table Grid"/>
    <w:basedOn w:val="102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7" w:customStyle="1">
    <w:name w:val="WW8Num1"/>
    <w:basedOn w:val="1026"/>
    <w:pPr>
      <w:numPr>
        <w:numId w:val="1"/>
      </w:numPr>
      <w:pBdr/>
      <w:spacing/>
      <w:ind/>
    </w:pPr>
  </w:style>
  <w:style w:type="numbering" w:styleId="1068" w:customStyle="1">
    <w:name w:val="WW8Num2"/>
    <w:basedOn w:val="1026"/>
    <w:pPr>
      <w:numPr>
        <w:numId w:val="2"/>
      </w:numPr>
      <w:pBdr/>
      <w:spacing/>
      <w:ind/>
    </w:pPr>
  </w:style>
  <w:style w:type="character" w:styleId="1069">
    <w:name w:val="Unresolved Mention"/>
    <w:basedOn w:val="10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0">
    <w:name w:val="FollowedHyperlink"/>
    <w:basedOn w:val="10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16</cp:revision>
  <dcterms:created xsi:type="dcterms:W3CDTF">2025-12-01T18:01:00Z</dcterms:created>
  <dcterms:modified xsi:type="dcterms:W3CDTF">2025-12-23T22:46:48Z</dcterms:modified>
</cp:coreProperties>
</file>