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80A9" w14:textId="77777777" w:rsidR="001F01E8" w:rsidRPr="00B61C7F" w:rsidRDefault="001F01E8" w:rsidP="001F01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53FD325" w14:textId="0ABFB734" w:rsidR="001F01E8" w:rsidRPr="00B61C7F" w:rsidRDefault="001F01E8" w:rsidP="001F01E8">
      <w:pPr>
        <w:jc w:val="center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b/>
          <w:color w:val="000000" w:themeColor="text1"/>
        </w:rPr>
        <w:t xml:space="preserve">PROJETO DE LEI Nº </w:t>
      </w:r>
      <w:r w:rsidR="001637BF">
        <w:rPr>
          <w:rFonts w:ascii="Times New Roman" w:hAnsi="Times New Roman" w:cs="Times New Roman"/>
          <w:b/>
          <w:color w:val="000000" w:themeColor="text1"/>
        </w:rPr>
        <w:t>06</w:t>
      </w:r>
      <w:r w:rsidRPr="00B61C7F">
        <w:rPr>
          <w:rFonts w:ascii="Times New Roman" w:hAnsi="Times New Roman" w:cs="Times New Roman"/>
          <w:b/>
          <w:color w:val="000000" w:themeColor="text1"/>
        </w:rPr>
        <w:t>/2026</w:t>
      </w:r>
    </w:p>
    <w:p w14:paraId="5C94271A" w14:textId="77777777" w:rsidR="001F01E8" w:rsidRPr="00B61C7F" w:rsidRDefault="001F01E8" w:rsidP="001F01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5C90ADE" w14:textId="77777777" w:rsidR="002917B3" w:rsidRDefault="001F01E8" w:rsidP="002917B3">
      <w:pPr>
        <w:ind w:left="4536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b/>
          <w:color w:val="000000" w:themeColor="text1"/>
        </w:rPr>
        <w:t>DISPÕE SOBRE O AUXÍLIO-ALIMENTAÇÃO DOS SERVIDORES PÚBLICOS DA CÂMARA MUNICIPAL DE PARAUAPEBAS, CONSOLIDA REGRAS DE CONCESSÃO, ATUALIZA O VALOR DO BENEFÍCIO E REVOGA A RESOLUÇÃO Nº 001/2013.</w:t>
      </w:r>
    </w:p>
    <w:p w14:paraId="6AB9E198" w14:textId="4D1911B4" w:rsidR="001F01E8" w:rsidRPr="00B61C7F" w:rsidRDefault="001F01E8" w:rsidP="002917B3">
      <w:pPr>
        <w:ind w:left="4536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b/>
          <w:color w:val="000000" w:themeColor="text1"/>
        </w:rPr>
        <w:t>Autoria: Mesa Diretora – MD.</w:t>
      </w:r>
    </w:p>
    <w:p w14:paraId="78107B94" w14:textId="77777777" w:rsidR="001F01E8" w:rsidRPr="00B61C7F" w:rsidRDefault="001F01E8" w:rsidP="001F01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B61C42B" w14:textId="77777777" w:rsidR="001F01E8" w:rsidRPr="00B61C7F" w:rsidRDefault="001F01E8" w:rsidP="001F01E8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B61C7F">
        <w:rPr>
          <w:rFonts w:ascii="Times New Roman" w:hAnsi="Times New Roman" w:cs="Times New Roman"/>
          <w:b/>
          <w:color w:val="000000" w:themeColor="text1"/>
        </w:rPr>
        <w:t>A CÂMARA MUNICIPAL DE PARAUAPEBAS, ESTADO DO PARÁ, APROVOU, E EU, PREFEITO DO MUNICÍPIO DE PARAUAPEBAS, SANCIONO A SEGUINTE LEI:</w:t>
      </w:r>
    </w:p>
    <w:p w14:paraId="60AF7292" w14:textId="77777777" w:rsidR="001F01E8" w:rsidRPr="00B61C7F" w:rsidRDefault="001F01E8" w:rsidP="001F01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5CB39C8" w14:textId="36B028D3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Art.</w:t>
      </w:r>
      <w:r w:rsidRPr="00B61C7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61C7F">
        <w:rPr>
          <w:rFonts w:ascii="Times New Roman" w:hAnsi="Times New Roman" w:cs="Times New Roman"/>
          <w:color w:val="000000" w:themeColor="text1"/>
        </w:rPr>
        <w:t>1º. Fica disciplinado</w:t>
      </w:r>
      <w:r w:rsidR="002917B3">
        <w:rPr>
          <w:rFonts w:ascii="Times New Roman" w:hAnsi="Times New Roman" w:cs="Times New Roman"/>
          <w:color w:val="000000" w:themeColor="text1"/>
        </w:rPr>
        <w:t xml:space="preserve"> </w:t>
      </w:r>
      <w:r w:rsidR="002917B3" w:rsidRPr="00B61C7F">
        <w:rPr>
          <w:rFonts w:ascii="Times New Roman" w:hAnsi="Times New Roman" w:cs="Times New Roman"/>
          <w:color w:val="000000" w:themeColor="text1"/>
        </w:rPr>
        <w:t>o Auxílio-Alimentação</w:t>
      </w:r>
      <w:r w:rsidRPr="00B61C7F">
        <w:rPr>
          <w:rFonts w:ascii="Times New Roman" w:hAnsi="Times New Roman" w:cs="Times New Roman"/>
          <w:color w:val="000000" w:themeColor="text1"/>
        </w:rPr>
        <w:t xml:space="preserve"> no âmbito do Poder Legislativo do Município de Parauapebas, entendido como verba de caráter indenizatório destinada ao custeio de alimentação dos servidores da Câmara Municipal de Parauapebas, mantida a sua continuidade administrativa.</w:t>
      </w:r>
    </w:p>
    <w:p w14:paraId="20749955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Art.</w:t>
      </w:r>
      <w:r w:rsidRPr="00B61C7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61C7F">
        <w:rPr>
          <w:rFonts w:ascii="Times New Roman" w:hAnsi="Times New Roman" w:cs="Times New Roman"/>
          <w:color w:val="000000" w:themeColor="text1"/>
        </w:rPr>
        <w:t xml:space="preserve">2º. São beneficiários do Auxílio-Alimentação todos os servidores públicos da ativa, efetivos ou comissionados, da Câmara Municipal de Parauapebas.  </w:t>
      </w:r>
    </w:p>
    <w:p w14:paraId="342B0608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§ 1º. O servidor fará jus ao Auxílio-Alimentação quando se encontrar em situação ou atividade considerada como de efetivo exercício, nos termos do art. 44 da Lei Municipal nº 4.231/2002.</w:t>
      </w:r>
    </w:p>
    <w:p w14:paraId="71932490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§ 2º. Será suspenso o Auxílio-Alimentação do servidor da Câmara Municipal cedido para outros órgãos da Administração Direta ou Indireta da União, dos Estados, do Distrito Federal e dos Municípios, se cedido com ônus para o órgão requisitante.</w:t>
      </w:r>
    </w:p>
    <w:p w14:paraId="34EEA957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§ 3º. Será devido o Auxílio-Alimentação aos servidores públicos de outros órgãos da Administração Direta ou Indireta da União, dos Estados, do Distrito Federal e dos Municípios, cedidos com ônus para a Câmara Municipal de Parauapebas.</w:t>
      </w:r>
    </w:p>
    <w:p w14:paraId="42E3405A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§ 4º. Cessados os motivos de suspensão elencados nos parágrafos anteriores, o Auxílio-Alimentação será devido ao servidor a partir do mês subsequente ao da comunicação formal do fato à Coordenadoria de Recursos Humanos da Câmara.</w:t>
      </w:r>
    </w:p>
    <w:p w14:paraId="23289D0E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 xml:space="preserve">§ 5º. Em casos de admissão após o início do mês, de desligamento antes do término do mês ou da ocorrência, durante o mês, de causa suspensiva do benefício, por </w:t>
      </w:r>
      <w:r w:rsidRPr="00B61C7F">
        <w:rPr>
          <w:rFonts w:ascii="Times New Roman" w:hAnsi="Times New Roman" w:cs="Times New Roman"/>
          <w:color w:val="000000" w:themeColor="text1"/>
        </w:rPr>
        <w:lastRenderedPageBreak/>
        <w:t>qualquer das hipóteses previstas nos parágrafos anteriores deste artigo, será deduzida a importância relativa aos dias correspondentes.</w:t>
      </w:r>
    </w:p>
    <w:p w14:paraId="681DEC30" w14:textId="4AD965C2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Art.</w:t>
      </w:r>
      <w:r w:rsidRPr="00B61C7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61C7F">
        <w:rPr>
          <w:rFonts w:ascii="Times New Roman" w:hAnsi="Times New Roman" w:cs="Times New Roman"/>
          <w:color w:val="000000" w:themeColor="text1"/>
        </w:rPr>
        <w:t>3º. O valor do Auxílio-Alimentação será de R$ 1.7</w:t>
      </w:r>
      <w:r w:rsidR="002917B3">
        <w:rPr>
          <w:rFonts w:ascii="Times New Roman" w:hAnsi="Times New Roman" w:cs="Times New Roman"/>
          <w:color w:val="000000" w:themeColor="text1"/>
        </w:rPr>
        <w:t>00</w:t>
      </w:r>
      <w:r w:rsidRPr="00B61C7F">
        <w:rPr>
          <w:rFonts w:ascii="Times New Roman" w:hAnsi="Times New Roman" w:cs="Times New Roman"/>
          <w:color w:val="000000" w:themeColor="text1"/>
        </w:rPr>
        <w:t xml:space="preserve">,00 (mil </w:t>
      </w:r>
      <w:r w:rsidR="002917B3">
        <w:rPr>
          <w:rFonts w:ascii="Times New Roman" w:hAnsi="Times New Roman" w:cs="Times New Roman"/>
          <w:color w:val="000000" w:themeColor="text1"/>
        </w:rPr>
        <w:t xml:space="preserve">e </w:t>
      </w:r>
      <w:r w:rsidRPr="00B61C7F">
        <w:rPr>
          <w:rFonts w:ascii="Times New Roman" w:hAnsi="Times New Roman" w:cs="Times New Roman"/>
          <w:color w:val="000000" w:themeColor="text1"/>
        </w:rPr>
        <w:t>setecentos reais) por mês de trabalho, mediante o efetivo desempenho das atribuições do servidor, observadas as restrições contidas nos §§ 1º a 5º do art. 2º desta Lei.</w:t>
      </w:r>
    </w:p>
    <w:p w14:paraId="5EFADFED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§ 1º. Até que seja efetivado o fornecimento do cartão magnético ou outra forma assemelhada, o benefício será concedido em pecúnia, creditado em folha de pagamento e devidamente consignado em contracheque.</w:t>
      </w:r>
    </w:p>
    <w:p w14:paraId="596D75EA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§ 2º.</w:t>
      </w:r>
      <w:r w:rsidRPr="00B61C7F">
        <w:rPr>
          <w:rFonts w:ascii="Times New Roman" w:hAnsi="Times New Roman" w:cs="Times New Roman"/>
          <w:color w:val="000000" w:themeColor="text1"/>
        </w:rPr>
        <w:t xml:space="preserve"> Os valores já pagos a título de Auxílio-Alimentação no exercício de 2026 serão considerados para fins de apuração do valor devido, </w:t>
      </w: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cabendo o pagamento complementar correspondente à diferença entre o valor previsto no caput e o valor efetivamente pago em cada mês</w:t>
      </w:r>
      <w:r w:rsidRPr="00B61C7F">
        <w:rPr>
          <w:rFonts w:ascii="Times New Roman" w:hAnsi="Times New Roman" w:cs="Times New Roman"/>
          <w:b/>
          <w:color w:val="000000" w:themeColor="text1"/>
        </w:rPr>
        <w:t>.</w:t>
      </w:r>
    </w:p>
    <w:p w14:paraId="575184A6" w14:textId="1AA22376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Art.</w:t>
      </w:r>
      <w:r w:rsidRPr="00B61C7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61C7F">
        <w:rPr>
          <w:rFonts w:ascii="Times New Roman" w:hAnsi="Times New Roman" w:cs="Times New Roman"/>
          <w:color w:val="000000" w:themeColor="text1"/>
        </w:rPr>
        <w:t>4º. O valor do Auxílio-Alimentação será reajustado, anualmente, no mês de janeiro, concomitantemente ao reajuste salarial dos servidores públicos municipais, por lei específica, com base no INPC – Índice Nacional de Preços ao Consumidor, desde que haja a necessária disponibilidade orçamentária e financeira.</w:t>
      </w:r>
    </w:p>
    <w:p w14:paraId="6D5AAAB2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Art. 5º.</w:t>
      </w:r>
      <w:r w:rsidRPr="00B61C7F">
        <w:rPr>
          <w:rFonts w:ascii="Times New Roman" w:hAnsi="Times New Roman" w:cs="Times New Roman"/>
          <w:color w:val="000000" w:themeColor="text1"/>
        </w:rPr>
        <w:t xml:space="preserve"> O Auxílio-Alimentação não será, em hipótese alguma:</w:t>
      </w:r>
    </w:p>
    <w:p w14:paraId="4A535910" w14:textId="368E8333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I –</w:t>
      </w:r>
      <w:r w:rsidRPr="00B61C7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B61C7F">
        <w:rPr>
          <w:rFonts w:ascii="Times New Roman" w:hAnsi="Times New Roman" w:cs="Times New Roman"/>
          <w:color w:val="000000" w:themeColor="text1"/>
        </w:rPr>
        <w:t>pago</w:t>
      </w:r>
      <w:proofErr w:type="gramEnd"/>
      <w:r w:rsidRPr="00B61C7F">
        <w:rPr>
          <w:rFonts w:ascii="Times New Roman" w:hAnsi="Times New Roman" w:cs="Times New Roman"/>
          <w:color w:val="000000" w:themeColor="text1"/>
        </w:rPr>
        <w:t xml:space="preserve"> em </w:t>
      </w:r>
      <w:r w:rsidR="002917B3">
        <w:rPr>
          <w:rFonts w:ascii="Times New Roman" w:hAnsi="Times New Roman" w:cs="Times New Roman"/>
          <w:color w:val="000000" w:themeColor="text1"/>
        </w:rPr>
        <w:t>espécie;</w:t>
      </w:r>
    </w:p>
    <w:p w14:paraId="7A8C91F3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II –</w:t>
      </w:r>
      <w:r w:rsidRPr="00B61C7F">
        <w:rPr>
          <w:rFonts w:ascii="Times New Roman" w:hAnsi="Times New Roman" w:cs="Times New Roman"/>
          <w:color w:val="000000" w:themeColor="text1"/>
        </w:rPr>
        <w:t xml:space="preserve"> incorporado aos vencimentos, remunerações ou pensões;</w:t>
      </w:r>
    </w:p>
    <w:p w14:paraId="7DC820FE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III –</w:t>
      </w:r>
      <w:r w:rsidRPr="00B61C7F">
        <w:rPr>
          <w:rFonts w:ascii="Times New Roman" w:hAnsi="Times New Roman" w:cs="Times New Roman"/>
          <w:color w:val="000000" w:themeColor="text1"/>
        </w:rPr>
        <w:t xml:space="preserve"> caracterizado como salário-utilidade ou prestação salarial </w:t>
      </w:r>
      <w:r w:rsidRPr="00B61C7F">
        <w:rPr>
          <w:rStyle w:val="nfase"/>
          <w:rFonts w:ascii="Times New Roman" w:hAnsi="Times New Roman" w:cs="Times New Roman"/>
          <w:color w:val="000000" w:themeColor="text1"/>
        </w:rPr>
        <w:t>in natura</w:t>
      </w:r>
      <w:r w:rsidRPr="00B61C7F">
        <w:rPr>
          <w:rFonts w:ascii="Times New Roman" w:hAnsi="Times New Roman" w:cs="Times New Roman"/>
          <w:color w:val="000000" w:themeColor="text1"/>
        </w:rPr>
        <w:t>;</w:t>
      </w:r>
    </w:p>
    <w:p w14:paraId="01A6AB16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IV –</w:t>
      </w:r>
      <w:r w:rsidRPr="00B61C7F">
        <w:rPr>
          <w:rFonts w:ascii="Times New Roman" w:hAnsi="Times New Roman" w:cs="Times New Roman"/>
          <w:color w:val="000000" w:themeColor="text1"/>
        </w:rPr>
        <w:t xml:space="preserve"> configurado como rendimento tributável;</w:t>
      </w:r>
    </w:p>
    <w:p w14:paraId="71FE1360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V –</w:t>
      </w:r>
      <w:r w:rsidRPr="00B61C7F">
        <w:rPr>
          <w:rFonts w:ascii="Times New Roman" w:hAnsi="Times New Roman" w:cs="Times New Roman"/>
          <w:color w:val="000000" w:themeColor="text1"/>
        </w:rPr>
        <w:t xml:space="preserve"> integrado à base de cálculo de contribuição previdenciária e demais encargos incidentes sobre a folha, por ostentar natureza indenizatória, na forma da legislação aplicável;</w:t>
      </w:r>
    </w:p>
    <w:p w14:paraId="3B3A4668" w14:textId="7EC444D1" w:rsidR="001F01E8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VI –</w:t>
      </w:r>
      <w:r w:rsidRPr="00B61C7F">
        <w:rPr>
          <w:rFonts w:ascii="Times New Roman" w:hAnsi="Times New Roman" w:cs="Times New Roman"/>
          <w:color w:val="000000" w:themeColor="text1"/>
        </w:rPr>
        <w:t xml:space="preserve"> estendido aos servidores inativos e pensionistas, por se tratar de verba indenizatória vinculada ao efetivo exercício, conforme a Súmula Vinculante nº</w:t>
      </w:r>
      <w:r w:rsidR="00963E68">
        <w:rPr>
          <w:rFonts w:ascii="Times New Roman" w:hAnsi="Times New Roman" w:cs="Times New Roman"/>
          <w:color w:val="000000" w:themeColor="text1"/>
        </w:rPr>
        <w:t xml:space="preserve"> 55 do Supremo Tribunal Federal;</w:t>
      </w:r>
    </w:p>
    <w:p w14:paraId="44189977" w14:textId="2AA8121D" w:rsidR="00963E68" w:rsidRPr="00B61C7F" w:rsidRDefault="00963E6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>
        <w:t>VII – pago ao servidor em gozo de licença não remunerada.</w:t>
      </w:r>
    </w:p>
    <w:p w14:paraId="45ABE4D0" w14:textId="77777777" w:rsidR="001F01E8" w:rsidRPr="00B61C7F" w:rsidRDefault="001F01E8" w:rsidP="001F01E8">
      <w:pPr>
        <w:spacing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Parágrafo único.</w:t>
      </w:r>
      <w:r w:rsidRPr="00B61C7F">
        <w:rPr>
          <w:rFonts w:ascii="Times New Roman" w:hAnsi="Times New Roman" w:cs="Times New Roman"/>
          <w:color w:val="000000" w:themeColor="text1"/>
        </w:rPr>
        <w:t xml:space="preserve"> O benefício em questão tem natureza indenizatória e </w:t>
      </w: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não integra a remuneração para quaisquer efeitos</w:t>
      </w:r>
      <w:r w:rsidRPr="00B61C7F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não se computando</w:t>
      </w:r>
      <w:r w:rsidRPr="00B61C7F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para fins de apuração</w:t>
      </w:r>
      <w:r w:rsidRPr="00B61C7F">
        <w:rPr>
          <w:rFonts w:ascii="Times New Roman" w:hAnsi="Times New Roman" w:cs="Times New Roman"/>
          <w:color w:val="000000" w:themeColor="text1"/>
        </w:rPr>
        <w:t xml:space="preserve"> dos limites de despesa total com pessoal, </w:t>
      </w: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na forma da Lei Complementar nº 101/2000 e das orientações aplicáveis.</w:t>
      </w:r>
    </w:p>
    <w:p w14:paraId="6E75E204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lastRenderedPageBreak/>
        <w:t>Art</w:t>
      </w:r>
      <w:r w:rsidRPr="00B61C7F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B61C7F">
        <w:rPr>
          <w:rFonts w:ascii="Times New Roman" w:hAnsi="Times New Roman" w:cs="Times New Roman"/>
          <w:color w:val="000000" w:themeColor="text1"/>
        </w:rPr>
        <w:t>6º. Os recursos para implementação e execução desta Lei correrão por conta da dotação orçamentária específica do Poder Legislativo, ficando este autorizado a proceder a suplementações, se necessário.</w:t>
      </w:r>
    </w:p>
    <w:p w14:paraId="3B6CA738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Art. 7º.</w:t>
      </w:r>
      <w:r w:rsidRPr="00B61C7F">
        <w:rPr>
          <w:rFonts w:ascii="Times New Roman" w:hAnsi="Times New Roman" w:cs="Times New Roman"/>
          <w:color w:val="000000" w:themeColor="text1"/>
        </w:rPr>
        <w:t xml:space="preserve"> Fica revogada a Resolução nº 001, de 09 de abril de 2013, e suas alterações, que instituiu o Auxílio-Alimentação no âmbito do Poder Legislativo do Município de Parauapebas, </w:t>
      </w: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a partir da data de publicação desta Lei</w:t>
      </w:r>
      <w:r w:rsidRPr="00B61C7F">
        <w:rPr>
          <w:rFonts w:ascii="Times New Roman" w:hAnsi="Times New Roman" w:cs="Times New Roman"/>
          <w:b/>
          <w:color w:val="000000" w:themeColor="text1"/>
        </w:rPr>
        <w:t>.</w:t>
      </w:r>
    </w:p>
    <w:p w14:paraId="5257DB3F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Art. 8º.</w:t>
      </w:r>
      <w:r w:rsidRPr="00B61C7F">
        <w:rPr>
          <w:rFonts w:ascii="Times New Roman" w:hAnsi="Times New Roman" w:cs="Times New Roman"/>
          <w:color w:val="000000" w:themeColor="text1"/>
        </w:rPr>
        <w:t xml:space="preserve"> Ficam convalidados e ratificados, para todos os fins, os atos administrativos de concessão e os pagamentos efetuados a título de Auxílio-Alimentação no âmbito da Câmara Municipal de Parauapebas, realizados com fundamento na Resolução nº 001/2013 e suas alterações, até a data de publicação desta Lei, observado o texto consolidado vigente à época de cada ato e pagamento.</w:t>
      </w:r>
    </w:p>
    <w:p w14:paraId="0367F90D" w14:textId="77777777" w:rsidR="00C23C96" w:rsidRDefault="001F01E8" w:rsidP="00C23C96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</w:rPr>
      </w:pP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Art. 9º.</w:t>
      </w:r>
      <w:r w:rsidRPr="00B61C7F">
        <w:rPr>
          <w:rFonts w:ascii="Times New Roman" w:hAnsi="Times New Roman" w:cs="Times New Roman"/>
          <w:color w:val="000000" w:themeColor="text1"/>
        </w:rPr>
        <w:t xml:space="preserve"> Esta Lei entra em vigor na data de sua publicação, </w:t>
      </w:r>
      <w:r w:rsidRPr="00B61C7F">
        <w:rPr>
          <w:rStyle w:val="Forte"/>
          <w:rFonts w:ascii="Times New Roman" w:hAnsi="Times New Roman" w:cs="Times New Roman"/>
          <w:b w:val="0"/>
          <w:color w:val="000000" w:themeColor="text1"/>
        </w:rPr>
        <w:t>produzindo efeitos financeiros a partir de 1º de janeiro de 2026</w:t>
      </w:r>
      <w:r w:rsidRPr="00B61C7F">
        <w:rPr>
          <w:rFonts w:ascii="Times New Roman" w:hAnsi="Times New Roman" w:cs="Times New Roman"/>
          <w:b/>
          <w:color w:val="000000" w:themeColor="text1"/>
        </w:rPr>
        <w:t>.</w:t>
      </w:r>
    </w:p>
    <w:p w14:paraId="0D6F1C70" w14:textId="46CA1C3F" w:rsidR="001F01E8" w:rsidRPr="00C23C96" w:rsidRDefault="001F01E8" w:rsidP="00C23C96">
      <w:pPr>
        <w:spacing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Parauapebas, Pará, 18 de fevereiro de 2026.</w:t>
      </w:r>
    </w:p>
    <w:p w14:paraId="7AA2BCEA" w14:textId="77777777" w:rsidR="001F01E8" w:rsidRPr="00B61C7F" w:rsidRDefault="001F01E8" w:rsidP="001F01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036611B" w14:textId="77777777" w:rsidR="001F01E8" w:rsidRPr="00B61C7F" w:rsidRDefault="001F01E8" w:rsidP="001F01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770B53" w14:textId="77777777" w:rsidR="00963E68" w:rsidRPr="00454B99" w:rsidRDefault="00963E68" w:rsidP="00963E68">
      <w:pPr>
        <w:pStyle w:val="Corpodetexto"/>
        <w:spacing w:before="1"/>
        <w:rPr>
          <w:sz w:val="38"/>
          <w:lang w:val="pt-BR"/>
        </w:rPr>
      </w:pPr>
    </w:p>
    <w:p w14:paraId="3DFA3D3A" w14:textId="77777777" w:rsidR="00963E68" w:rsidRPr="00454B99" w:rsidRDefault="00963E68" w:rsidP="00963E68">
      <w:pPr>
        <w:pStyle w:val="Corpodetexto"/>
        <w:ind w:left="2330" w:right="2220"/>
        <w:jc w:val="center"/>
        <w:rPr>
          <w:lang w:val="pt-BR"/>
        </w:rPr>
      </w:pPr>
      <w:r w:rsidRPr="00454B99">
        <w:rPr>
          <w:lang w:val="pt-BR"/>
        </w:rPr>
        <w:t>AURÉLIO RAMOS DE OLIVEIRA NETO</w:t>
      </w:r>
    </w:p>
    <w:p w14:paraId="440BBE40" w14:textId="77777777" w:rsidR="00963E68" w:rsidRPr="00454B99" w:rsidRDefault="00963E68" w:rsidP="00963E68">
      <w:pPr>
        <w:pStyle w:val="Corpodetexto"/>
        <w:spacing w:before="41"/>
        <w:ind w:left="2325" w:right="2220"/>
        <w:jc w:val="center"/>
        <w:rPr>
          <w:lang w:val="pt-BR"/>
        </w:rPr>
      </w:pPr>
      <w:r w:rsidRPr="00454B99">
        <w:rPr>
          <w:lang w:val="pt-BR"/>
        </w:rPr>
        <w:t>Prefeito de Parauapebas</w:t>
      </w:r>
    </w:p>
    <w:p w14:paraId="118E7179" w14:textId="77777777" w:rsidR="00963E68" w:rsidRPr="00454B99" w:rsidRDefault="00963E68" w:rsidP="00963E68">
      <w:pPr>
        <w:jc w:val="center"/>
        <w:sectPr w:rsidR="00963E68" w:rsidRPr="00454B99" w:rsidSect="0074523A">
          <w:headerReference w:type="default" r:id="rId7"/>
          <w:footerReference w:type="default" r:id="rId8"/>
          <w:pgSz w:w="11910" w:h="16840"/>
          <w:pgMar w:top="1900" w:right="1600" w:bottom="2060" w:left="1480" w:header="144" w:footer="1862" w:gutter="0"/>
          <w:cols w:space="720"/>
        </w:sectPr>
      </w:pPr>
    </w:p>
    <w:p w14:paraId="5557F217" w14:textId="37A11F80" w:rsidR="001F01E8" w:rsidRPr="00B61C7F" w:rsidRDefault="001F01E8" w:rsidP="001F01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9EF3140" w14:textId="77777777" w:rsidR="001F01E8" w:rsidRPr="00B61C7F" w:rsidRDefault="001F01E8" w:rsidP="001F01E8">
      <w:pPr>
        <w:jc w:val="center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b/>
          <w:color w:val="000000" w:themeColor="text1"/>
        </w:rPr>
        <w:t>JUSTIFICATIVA</w:t>
      </w:r>
    </w:p>
    <w:p w14:paraId="5841365F" w14:textId="77777777" w:rsidR="001F01E8" w:rsidRPr="00B61C7F" w:rsidRDefault="001F01E8" w:rsidP="001F01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CFB759" w14:textId="2E7F6F78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O presente Projeto de Lei tem por finalidade consolidar, em nível legal, o regramento do Auxílio-Alimentação dos servidores da Câmara Municipal de Parauapebas, atualmente disciplinado pela Resolução nº 001/2013 (texto consolidado), bem como atualizar o valor mensal do benefício de R$ 1.500,00 para R$ 1.7</w:t>
      </w:r>
      <w:r w:rsidR="002917B3">
        <w:rPr>
          <w:rFonts w:ascii="Times New Roman" w:hAnsi="Times New Roman" w:cs="Times New Roman"/>
          <w:color w:val="000000" w:themeColor="text1"/>
        </w:rPr>
        <w:t>00</w:t>
      </w:r>
      <w:r w:rsidRPr="00B61C7F">
        <w:rPr>
          <w:rFonts w:ascii="Times New Roman" w:hAnsi="Times New Roman" w:cs="Times New Roman"/>
          <w:color w:val="000000" w:themeColor="text1"/>
        </w:rPr>
        <w:t>,00, com efeitos a partir de 1º de janeiro de 2026, preservando-se a natureza indenizatória da parcela e as mesmas condições de fruição já praticadas.</w:t>
      </w:r>
    </w:p>
    <w:p w14:paraId="33B9AD32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A migração do tema do plano infralegal (resolução) para o plano legal (lei municipal) decorre de necessidade de reforço do princípio da legalidade e de redução de risco institucional quanto a vantagens pecuniárias pagas a servidores, especialmente as rotuladas como indenizatórias. Na Reclamação nº 88.319, o Supremo Tribunal Federal destacou que a remuneração e o subsídio dos agentes públicos somente podem ser fixados ou alterados por lei específica (CF, art. 37, X) e consignou ser imprescindível a existência de “legalidade específica para definição dos valores a serem pagos a título de indenização”.</w:t>
      </w:r>
    </w:p>
    <w:p w14:paraId="75362529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No mesmo precedente, foi ressaltado o recente incremento do tratamento constitucional acerca das parcelas indenizatórias, com a inserção do § 11 no art. 37 da Constituição pela Emenda Constitucional nº 135/2024, prevendo que, enquanto não editada a lei ali referida, “as parcelas indenizatórias expressamente previstas em lei ordinária nacional” serão as únicas reconhecidas com tal natureza, o que reforça a necessidade de máxima cautela normativa na disciplina e na atualização desses benefícios.</w:t>
      </w:r>
    </w:p>
    <w:p w14:paraId="393C9978" w14:textId="77777777" w:rsidR="001F01E8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Assim, o Projeto consolida, em Lei, todas as regras atualmente vigentes na Resolução nº 001/2013: (i) definição do Auxílio-Alimentação como verba indenizatória voltada ao custeio de alimentação; (</w:t>
      </w:r>
      <w:proofErr w:type="spellStart"/>
      <w:r w:rsidRPr="00B61C7F">
        <w:rPr>
          <w:rFonts w:ascii="Times New Roman" w:hAnsi="Times New Roman" w:cs="Times New Roman"/>
          <w:color w:val="000000" w:themeColor="text1"/>
        </w:rPr>
        <w:t>ii</w:t>
      </w:r>
      <w:proofErr w:type="spellEnd"/>
      <w:r w:rsidRPr="00B61C7F">
        <w:rPr>
          <w:rFonts w:ascii="Times New Roman" w:hAnsi="Times New Roman" w:cs="Times New Roman"/>
          <w:color w:val="000000" w:themeColor="text1"/>
        </w:rPr>
        <w:t>) beneficiários e hipóteses de suspensão/retomada; (</w:t>
      </w:r>
      <w:proofErr w:type="spellStart"/>
      <w:r w:rsidRPr="00B61C7F">
        <w:rPr>
          <w:rFonts w:ascii="Times New Roman" w:hAnsi="Times New Roman" w:cs="Times New Roman"/>
          <w:color w:val="000000" w:themeColor="text1"/>
        </w:rPr>
        <w:t>iii</w:t>
      </w:r>
      <w:proofErr w:type="spellEnd"/>
      <w:r w:rsidRPr="00B61C7F">
        <w:rPr>
          <w:rFonts w:ascii="Times New Roman" w:hAnsi="Times New Roman" w:cs="Times New Roman"/>
          <w:color w:val="000000" w:themeColor="text1"/>
        </w:rPr>
        <w:t>) forma de pagamento por cartão magnético (ou, transitoriamente, em pecúnia até sua implementação); (</w:t>
      </w:r>
      <w:proofErr w:type="spellStart"/>
      <w:r w:rsidRPr="00B61C7F">
        <w:rPr>
          <w:rFonts w:ascii="Times New Roman" w:hAnsi="Times New Roman" w:cs="Times New Roman"/>
          <w:color w:val="000000" w:themeColor="text1"/>
        </w:rPr>
        <w:t>iv</w:t>
      </w:r>
      <w:proofErr w:type="spellEnd"/>
      <w:r w:rsidRPr="00B61C7F">
        <w:rPr>
          <w:rFonts w:ascii="Times New Roman" w:hAnsi="Times New Roman" w:cs="Times New Roman"/>
          <w:color w:val="000000" w:themeColor="text1"/>
        </w:rPr>
        <w:t>) vedação de incorporação, de pagamento em dinheiro fora do período de implementação, de configuração como salário-utilidade e de tributação; e (v) previsão orçamentária própria, com revogação expressa do ato normativo anterior.</w:t>
      </w:r>
    </w:p>
    <w:p w14:paraId="6BD86F10" w14:textId="77777777" w:rsidR="005D087E" w:rsidRPr="0027768D" w:rsidRDefault="005D087E" w:rsidP="005D087E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27768D">
        <w:rPr>
          <w:rFonts w:ascii="Times New Roman" w:hAnsi="Times New Roman" w:cs="Times New Roman"/>
          <w:color w:val="000000" w:themeColor="text1"/>
        </w:rPr>
        <w:t xml:space="preserve">O Projeto também adota a correta classificação do auxílio-alimentação como verba indenizatória, em consonância com o art. 2º da IN nº 04/2025/TCMPA, que expressamente reconhece o auxílio-alimentação como parcela destinada a recompor despesas do agente público no exercício de suas funções, sem natureza remuneratória. A </w:t>
      </w:r>
      <w:r w:rsidRPr="0027768D">
        <w:rPr>
          <w:rFonts w:ascii="Times New Roman" w:hAnsi="Times New Roman" w:cs="Times New Roman"/>
          <w:color w:val="000000" w:themeColor="text1"/>
        </w:rPr>
        <w:lastRenderedPageBreak/>
        <w:t>proposição preserva essa natureza ao vedar incorporação, reflexos remuneratórios e encargos, em linha com as diretrizes do controle externo.</w:t>
      </w:r>
    </w:p>
    <w:p w14:paraId="6929AE60" w14:textId="77777777" w:rsidR="005D087E" w:rsidRPr="00B61C7F" w:rsidRDefault="005D087E" w:rsidP="005D087E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27768D">
        <w:rPr>
          <w:rFonts w:ascii="Times New Roman" w:hAnsi="Times New Roman" w:cs="Times New Roman"/>
          <w:color w:val="000000" w:themeColor="text1"/>
        </w:rPr>
        <w:t>O valor proposto observa parâmetros de razoabilidade e compatibilidade com os custos locais de alimentação, preservando a natureza indenizatória do auxílio. A disciplina também se harmoniza com a IN nº 04/2025/TCMPA, pois assegura rastreabilidade: o pagamento se dá por cartão magnético (ou meio idôneo) e, provisoriamente, por crédito em folha com consignação em contracheque, não havendo pagamento em espécie.</w:t>
      </w:r>
    </w:p>
    <w:p w14:paraId="64D868EF" w14:textId="77777777" w:rsidR="001F01E8" w:rsidRPr="00B61C7F" w:rsidRDefault="001F01E8" w:rsidP="001F01E8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Do ponto de vista fiscal e orçamentário, o reajuste proposto representa atualização de despesa já existente há mais de uma década, razão pela qual a estimativa de impacto deve concentrar-se no incremento nominal (diferença entre o valor vigente e o valor proposto), sem prejuízo do atendimento ao art. 16 da Lei Complementar nº 101/2000 e ao art. 113 do ADCT, com a demonstração de compatibilidade com as dotações do Poder Legislativo e com as metas fiscais.</w:t>
      </w:r>
    </w:p>
    <w:p w14:paraId="5D3E7895" w14:textId="77777777" w:rsidR="001F01E8" w:rsidRDefault="001F01E8" w:rsidP="001F01E8">
      <w:pPr>
        <w:spacing w:line="360" w:lineRule="auto"/>
        <w:ind w:firstLine="1134"/>
        <w:jc w:val="both"/>
        <w:rPr>
          <w:rFonts w:cs="Times New Roman"/>
          <w:color w:val="000000" w:themeColor="text1"/>
        </w:rPr>
      </w:pPr>
      <w:r w:rsidRPr="00B61C7F">
        <w:rPr>
          <w:rFonts w:ascii="Times New Roman" w:hAnsi="Times New Roman" w:cs="Times New Roman"/>
          <w:color w:val="000000" w:themeColor="text1"/>
        </w:rPr>
        <w:t>Diante do exposto, submetemos a presente proposição à apreciação do Plenário, por entender que ela alinha o benefício às exigências de reserva legal, confere segurança jurídica, uniformiza as regras atualmente aplicadas e promove a necessária atualização do valor, sem descaracterizar sua natureza indenizatória.</w:t>
      </w:r>
    </w:p>
    <w:p w14:paraId="0D14C3B7" w14:textId="77777777" w:rsidR="001F01E8" w:rsidRDefault="001F01E8" w:rsidP="001F01E8">
      <w:pPr>
        <w:spacing w:line="360" w:lineRule="auto"/>
        <w:ind w:firstLine="1134"/>
        <w:jc w:val="both"/>
        <w:rPr>
          <w:rFonts w:cs="Times New Roman"/>
          <w:color w:val="000000" w:themeColor="text1"/>
        </w:rPr>
      </w:pPr>
    </w:p>
    <w:p w14:paraId="70A508F0" w14:textId="77777777" w:rsidR="001F01E8" w:rsidRPr="00A059DD" w:rsidRDefault="001F01E8" w:rsidP="001F01E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059DD">
        <w:rPr>
          <w:rFonts w:ascii="Times New Roman" w:hAnsi="Times New Roman" w:cs="Times New Roman"/>
          <w:b/>
        </w:rPr>
        <w:t>MESA DIRETORA DA CÂMARA MUNICIPAL DE PARAUAPEBAS</w:t>
      </w:r>
      <w:r>
        <w:rPr>
          <w:rFonts w:ascii="Times New Roman" w:hAnsi="Times New Roman" w:cs="Times New Roman"/>
          <w:b/>
        </w:rPr>
        <w:t xml:space="preserve"> 2025/2026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665"/>
        <w:gridCol w:w="3686"/>
      </w:tblGrid>
      <w:tr w:rsidR="001F01E8" w:rsidRPr="00B504D4" w14:paraId="5AD53C35" w14:textId="77777777" w:rsidTr="008B4E9F">
        <w:trPr>
          <w:trHeight w:val="1020"/>
        </w:trPr>
        <w:tc>
          <w:tcPr>
            <w:tcW w:w="5665" w:type="dxa"/>
            <w:vAlign w:val="center"/>
          </w:tcPr>
          <w:p w14:paraId="0654C7A4" w14:textId="77777777" w:rsidR="001F01E8" w:rsidRPr="00B504D4" w:rsidRDefault="001F01E8" w:rsidP="008B4E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Pr="00B504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ANDERSON MARCOS MORATORIO (PRD)</w:t>
            </w:r>
          </w:p>
          <w:p w14:paraId="7D7B9A25" w14:textId="77777777" w:rsidR="001F01E8" w:rsidRPr="00A059DD" w:rsidRDefault="001F01E8" w:rsidP="008B4E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59DD">
              <w:rPr>
                <w:rFonts w:ascii="Times New Roman" w:hAnsi="Times New Roman" w:cs="Times New Roman"/>
                <w:b/>
                <w:sz w:val="22"/>
                <w:szCs w:val="22"/>
              </w:rPr>
              <w:t>Presidente</w:t>
            </w:r>
          </w:p>
        </w:tc>
        <w:tc>
          <w:tcPr>
            <w:tcW w:w="3686" w:type="dxa"/>
          </w:tcPr>
          <w:p w14:paraId="09D566CB" w14:textId="77777777" w:rsidR="001F01E8" w:rsidRPr="00B504D4" w:rsidRDefault="001F01E8" w:rsidP="008B4E9F">
            <w:pPr>
              <w:rPr>
                <w:rFonts w:ascii="Times New Roman" w:hAnsi="Times New Roman" w:cs="Times New Roman"/>
              </w:rPr>
            </w:pPr>
          </w:p>
        </w:tc>
      </w:tr>
      <w:tr w:rsidR="001F01E8" w:rsidRPr="00B504D4" w14:paraId="56D86B08" w14:textId="77777777" w:rsidTr="008B4E9F">
        <w:trPr>
          <w:trHeight w:val="1020"/>
        </w:trPr>
        <w:tc>
          <w:tcPr>
            <w:tcW w:w="5665" w:type="dxa"/>
            <w:vAlign w:val="center"/>
          </w:tcPr>
          <w:p w14:paraId="41739B84" w14:textId="77777777" w:rsidR="001F01E8" w:rsidRPr="00B504D4" w:rsidRDefault="001F01E8" w:rsidP="008B4E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Pr="00B504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ANTÔNIO MICHEL COSTA ALVES (PV)</w:t>
            </w:r>
          </w:p>
          <w:p w14:paraId="0B21DDC4" w14:textId="77777777" w:rsidR="001F01E8" w:rsidRPr="00A059DD" w:rsidRDefault="001F01E8" w:rsidP="008B4E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04D4">
              <w:rPr>
                <w:rFonts w:ascii="Times New Roman" w:hAnsi="Times New Roman" w:cs="Times New Roman"/>
                <w:sz w:val="22"/>
                <w:szCs w:val="22"/>
              </w:rPr>
              <w:t>Vice-Presidente</w:t>
            </w:r>
          </w:p>
        </w:tc>
        <w:tc>
          <w:tcPr>
            <w:tcW w:w="3686" w:type="dxa"/>
          </w:tcPr>
          <w:p w14:paraId="2D454E45" w14:textId="77777777" w:rsidR="001F01E8" w:rsidRPr="00B504D4" w:rsidRDefault="001F01E8" w:rsidP="008B4E9F">
            <w:pPr>
              <w:rPr>
                <w:rFonts w:ascii="Times New Roman" w:hAnsi="Times New Roman" w:cs="Times New Roman"/>
              </w:rPr>
            </w:pPr>
          </w:p>
        </w:tc>
      </w:tr>
      <w:tr w:rsidR="001F01E8" w:rsidRPr="00B504D4" w14:paraId="14A8D4D7" w14:textId="77777777" w:rsidTr="008B4E9F">
        <w:trPr>
          <w:trHeight w:val="1020"/>
        </w:trPr>
        <w:tc>
          <w:tcPr>
            <w:tcW w:w="5665" w:type="dxa"/>
            <w:vAlign w:val="center"/>
          </w:tcPr>
          <w:p w14:paraId="478EF410" w14:textId="77777777" w:rsidR="001F01E8" w:rsidRPr="00B504D4" w:rsidRDefault="001F01E8" w:rsidP="008B4E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Vereadora </w:t>
            </w:r>
            <w:r w:rsidRPr="00B504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ERICA SOUSA DA SILVA RIBEIRO (PSDB)</w:t>
            </w:r>
          </w:p>
          <w:p w14:paraId="5235E1B4" w14:textId="77777777" w:rsidR="001F01E8" w:rsidRPr="00A059DD" w:rsidRDefault="001F01E8" w:rsidP="008B4E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1ª </w:t>
            </w:r>
            <w:r w:rsidRPr="00B504D4">
              <w:rPr>
                <w:rFonts w:ascii="Times New Roman" w:hAnsi="Times New Roman" w:cs="Times New Roman"/>
                <w:sz w:val="22"/>
                <w:szCs w:val="22"/>
              </w:rPr>
              <w:t>Secretária</w:t>
            </w:r>
          </w:p>
        </w:tc>
        <w:tc>
          <w:tcPr>
            <w:tcW w:w="3686" w:type="dxa"/>
          </w:tcPr>
          <w:p w14:paraId="782092B3" w14:textId="77777777" w:rsidR="001F01E8" w:rsidRPr="00B504D4" w:rsidRDefault="001F01E8" w:rsidP="008B4E9F">
            <w:pPr>
              <w:rPr>
                <w:rFonts w:ascii="Times New Roman" w:hAnsi="Times New Roman" w:cs="Times New Roman"/>
              </w:rPr>
            </w:pPr>
          </w:p>
        </w:tc>
      </w:tr>
      <w:tr w:rsidR="001F01E8" w:rsidRPr="00B504D4" w14:paraId="5901BFBD" w14:textId="77777777" w:rsidTr="008B4E9F">
        <w:trPr>
          <w:trHeight w:val="1020"/>
        </w:trPr>
        <w:tc>
          <w:tcPr>
            <w:tcW w:w="5665" w:type="dxa"/>
            <w:vAlign w:val="center"/>
          </w:tcPr>
          <w:p w14:paraId="2BFA00AB" w14:textId="77777777" w:rsidR="001F01E8" w:rsidRPr="00B504D4" w:rsidRDefault="001F01E8" w:rsidP="008B4E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Vereadora </w:t>
            </w:r>
            <w:r w:rsidRPr="00B504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GRACIELE COELHO JACOME DE BRITO OLIVEIRA (UNIÃO)</w:t>
            </w:r>
          </w:p>
          <w:p w14:paraId="30F85B51" w14:textId="77777777" w:rsidR="001F01E8" w:rsidRPr="00A059DD" w:rsidRDefault="001F01E8" w:rsidP="008B4E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2ª </w:t>
            </w:r>
            <w:r w:rsidRPr="00B504D4">
              <w:rPr>
                <w:rFonts w:ascii="Times New Roman" w:hAnsi="Times New Roman" w:cs="Times New Roman"/>
                <w:sz w:val="22"/>
                <w:szCs w:val="22"/>
              </w:rPr>
              <w:t>Secretária</w:t>
            </w:r>
          </w:p>
        </w:tc>
        <w:tc>
          <w:tcPr>
            <w:tcW w:w="3686" w:type="dxa"/>
          </w:tcPr>
          <w:p w14:paraId="42D3F8EF" w14:textId="77777777" w:rsidR="001F01E8" w:rsidRPr="00B504D4" w:rsidRDefault="001F01E8" w:rsidP="008B4E9F">
            <w:pPr>
              <w:rPr>
                <w:rFonts w:ascii="Times New Roman" w:hAnsi="Times New Roman" w:cs="Times New Roman"/>
              </w:rPr>
            </w:pPr>
          </w:p>
        </w:tc>
      </w:tr>
      <w:tr w:rsidR="001F01E8" w:rsidRPr="00B504D4" w14:paraId="17D5D219" w14:textId="77777777" w:rsidTr="008B4E9F">
        <w:trPr>
          <w:trHeight w:val="1020"/>
        </w:trPr>
        <w:tc>
          <w:tcPr>
            <w:tcW w:w="5665" w:type="dxa"/>
            <w:vAlign w:val="center"/>
          </w:tcPr>
          <w:p w14:paraId="3325AA79" w14:textId="77777777" w:rsidR="001F01E8" w:rsidRPr="00B504D4" w:rsidRDefault="001F01E8" w:rsidP="008B4E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Pr="00B504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JOSÉ RAMOS DE OLIVEIRA (AVANTE)</w:t>
            </w:r>
          </w:p>
          <w:p w14:paraId="4709C49D" w14:textId="77777777" w:rsidR="001F01E8" w:rsidRPr="00B504D4" w:rsidRDefault="001F01E8" w:rsidP="008B4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3º </w:t>
            </w:r>
            <w:r w:rsidRPr="00B504D4">
              <w:rPr>
                <w:rFonts w:ascii="Times New Roman" w:hAnsi="Times New Roman" w:cs="Times New Roman"/>
              </w:rPr>
              <w:t>Secretário</w:t>
            </w:r>
          </w:p>
        </w:tc>
        <w:tc>
          <w:tcPr>
            <w:tcW w:w="3686" w:type="dxa"/>
          </w:tcPr>
          <w:p w14:paraId="5CC8A103" w14:textId="77777777" w:rsidR="001F01E8" w:rsidRPr="00B504D4" w:rsidRDefault="001F01E8" w:rsidP="008B4E9F">
            <w:pPr>
              <w:rPr>
                <w:rFonts w:ascii="Times New Roman" w:hAnsi="Times New Roman" w:cs="Times New Roman"/>
              </w:rPr>
            </w:pPr>
          </w:p>
        </w:tc>
      </w:tr>
    </w:tbl>
    <w:p w14:paraId="4A02A588" w14:textId="3B98BF16" w:rsidR="001B5EA4" w:rsidRPr="001F01E8" w:rsidRDefault="001B5EA4" w:rsidP="001F01E8"/>
    <w:sectPr w:rsidR="001B5EA4" w:rsidRPr="001F01E8" w:rsidSect="008B2CA3">
      <w:headerReference w:type="default" r:id="rId9"/>
      <w:footerReference w:type="default" r:id="rId10"/>
      <w:pgSz w:w="11906" w:h="16838"/>
      <w:pgMar w:top="2127" w:right="1416" w:bottom="993" w:left="1701" w:header="850" w:footer="9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1CD5" w14:textId="77777777" w:rsidR="001C7B56" w:rsidRDefault="001C7B56">
      <w:r>
        <w:separator/>
      </w:r>
    </w:p>
  </w:endnote>
  <w:endnote w:type="continuationSeparator" w:id="0">
    <w:p w14:paraId="6F322470" w14:textId="77777777" w:rsidR="001C7B56" w:rsidRDefault="001C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07D8" w14:textId="77777777" w:rsidR="00963E68" w:rsidRDefault="00963E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8480" behindDoc="1" locked="0" layoutInCell="1" allowOverlap="1" wp14:anchorId="7E4B41ED" wp14:editId="282D28F2">
          <wp:simplePos x="0" y="0"/>
          <wp:positionH relativeFrom="page">
            <wp:posOffset>1211492</wp:posOffset>
          </wp:positionH>
          <wp:positionV relativeFrom="page">
            <wp:posOffset>9383267</wp:posOffset>
          </wp:positionV>
          <wp:extent cx="5099523" cy="58978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9523" cy="5897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2062" w14:textId="77777777" w:rsidR="00080304" w:rsidRDefault="0097560F" w:rsidP="00722048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5408" behindDoc="1" locked="0" layoutInCell="1" allowOverlap="1" wp14:anchorId="690FA525" wp14:editId="6C2EF5DF">
          <wp:simplePos x="0" y="0"/>
          <wp:positionH relativeFrom="column">
            <wp:posOffset>5715</wp:posOffset>
          </wp:positionH>
          <wp:positionV relativeFrom="paragraph">
            <wp:posOffset>55245</wp:posOffset>
          </wp:positionV>
          <wp:extent cx="5670550" cy="642620"/>
          <wp:effectExtent l="0" t="0" r="6350" b="5080"/>
          <wp:wrapNone/>
          <wp:docPr id="1667582446" name="Imagem 1667582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662A" w14:textId="77777777" w:rsidR="001C7B56" w:rsidRDefault="001C7B56">
      <w:r>
        <w:rPr>
          <w:color w:val="000000"/>
        </w:rPr>
        <w:separator/>
      </w:r>
    </w:p>
  </w:footnote>
  <w:footnote w:type="continuationSeparator" w:id="0">
    <w:p w14:paraId="4FD7794F" w14:textId="77777777" w:rsidR="001C7B56" w:rsidRDefault="001C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E8BB" w14:textId="77777777" w:rsidR="00963E68" w:rsidRDefault="00963E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7456" behindDoc="1" locked="0" layoutInCell="1" allowOverlap="1" wp14:anchorId="50617F50" wp14:editId="475E0DFB">
          <wp:simplePos x="0" y="0"/>
          <wp:positionH relativeFrom="page">
            <wp:posOffset>1964436</wp:posOffset>
          </wp:positionH>
          <wp:positionV relativeFrom="page">
            <wp:posOffset>91439</wp:posOffset>
          </wp:positionV>
          <wp:extent cx="4181855" cy="11262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81855" cy="112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0B48" w14:textId="28EB2C98" w:rsidR="00080304" w:rsidRDefault="00722048" w:rsidP="001F01E8">
    <w:pPr>
      <w:pStyle w:val="Cabealho"/>
      <w:tabs>
        <w:tab w:val="clear" w:pos="4819"/>
        <w:tab w:val="clear" w:pos="9638"/>
        <w:tab w:val="center" w:pos="4394"/>
      </w:tabs>
    </w:pPr>
    <w:r w:rsidRPr="001B5EA4">
      <w:rPr>
        <w:rFonts w:ascii="Times New Roman" w:hAnsi="Times New Roman" w:cs="Times New Roman"/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BC28C3" wp14:editId="52EC74A2">
              <wp:simplePos x="0" y="0"/>
              <wp:positionH relativeFrom="column">
                <wp:posOffset>3552825</wp:posOffset>
              </wp:positionH>
              <wp:positionV relativeFrom="paragraph">
                <wp:posOffset>-110490</wp:posOffset>
              </wp:positionV>
              <wp:extent cx="1676400" cy="312420"/>
              <wp:effectExtent l="0" t="0" r="0" b="0"/>
              <wp:wrapNone/>
              <wp:docPr id="6281308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312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CCE310" w14:textId="05B69EF1" w:rsidR="001B5EA4" w:rsidRPr="00796A21" w:rsidRDefault="001B5EA4" w:rsidP="001B5EA4">
                          <w:pPr>
                            <w:rPr>
                              <w:rFonts w:ascii="Arial" w:hAnsi="Arial"/>
                              <w:b/>
                              <w:color w:val="2F5496" w:themeColor="accent1" w:themeShade="BF"/>
                            </w:rPr>
                          </w:pPr>
                          <w:r w:rsidRPr="00796A21">
                            <w:rPr>
                              <w:rFonts w:ascii="Arial" w:hAnsi="Arial"/>
                              <w:b/>
                              <w:color w:val="2F5496" w:themeColor="accent1" w:themeShade="BF"/>
                            </w:rPr>
                            <w:t>Mesa Diretora</w:t>
                          </w:r>
                          <w:r w:rsidR="00796A21">
                            <w:rPr>
                              <w:rFonts w:ascii="Arial" w:hAnsi="Arial"/>
                              <w:b/>
                              <w:color w:val="2F5496" w:themeColor="accent1" w:themeShade="BF"/>
                            </w:rPr>
                            <w:t xml:space="preserve"> - MD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8BC28C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79.75pt;margin-top:-8.7pt;width:132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" fillcolor="white [3201]" stroked="f" strokeweight=".5pt">
              <v:textbox>
                <w:txbxContent>
                  <w:p w14:paraId="29CCE310" w14:textId="05B69EF1" w:rsidR="001B5EA4" w:rsidRPr="00796A21" w:rsidRDefault="001B5EA4" w:rsidP="001B5EA4">
                    <w:pPr>
                      <w:rPr>
                        <w:rFonts w:ascii="Arial" w:hAnsi="Arial"/>
                        <w:b/>
                        <w:color w:val="2F5496" w:themeColor="accent1" w:themeShade="BF"/>
                      </w:rPr>
                    </w:pPr>
                    <w:r w:rsidRPr="00796A21">
                      <w:rPr>
                        <w:rFonts w:ascii="Arial" w:hAnsi="Arial"/>
                        <w:b/>
                        <w:color w:val="2F5496" w:themeColor="accent1" w:themeShade="BF"/>
                      </w:rPr>
                      <w:t>Mesa Diretora</w:t>
                    </w:r>
                    <w:r w:rsidR="00796A21">
                      <w:rPr>
                        <w:rFonts w:ascii="Arial" w:hAnsi="Arial"/>
                        <w:b/>
                        <w:color w:val="2F5496" w:themeColor="accent1" w:themeShade="BF"/>
                      </w:rPr>
                      <w:t xml:space="preserve"> - MD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 wp14:anchorId="79928FD6" wp14:editId="1168EE7B">
          <wp:simplePos x="0" y="0"/>
          <wp:positionH relativeFrom="column">
            <wp:posOffset>5715</wp:posOffset>
          </wp:positionH>
          <wp:positionV relativeFrom="paragraph">
            <wp:posOffset>-501650</wp:posOffset>
          </wp:positionV>
          <wp:extent cx="5328920" cy="1295400"/>
          <wp:effectExtent l="0" t="0" r="5080" b="0"/>
          <wp:wrapNone/>
          <wp:docPr id="1667582445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92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01E8"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44"/>
    <w:rsid w:val="00080304"/>
    <w:rsid w:val="000F3244"/>
    <w:rsid w:val="001637BF"/>
    <w:rsid w:val="00185134"/>
    <w:rsid w:val="001B5EA4"/>
    <w:rsid w:val="001C6B72"/>
    <w:rsid w:val="001C7B56"/>
    <w:rsid w:val="001E269E"/>
    <w:rsid w:val="001F01E8"/>
    <w:rsid w:val="002917B3"/>
    <w:rsid w:val="003013DC"/>
    <w:rsid w:val="003B2A58"/>
    <w:rsid w:val="003F7D8B"/>
    <w:rsid w:val="00403F5A"/>
    <w:rsid w:val="00451920"/>
    <w:rsid w:val="0055076E"/>
    <w:rsid w:val="005D087E"/>
    <w:rsid w:val="006C4632"/>
    <w:rsid w:val="006E0130"/>
    <w:rsid w:val="00722048"/>
    <w:rsid w:val="007316A0"/>
    <w:rsid w:val="00796A21"/>
    <w:rsid w:val="00841B90"/>
    <w:rsid w:val="0085345F"/>
    <w:rsid w:val="008B2CA3"/>
    <w:rsid w:val="00900CCA"/>
    <w:rsid w:val="009046B0"/>
    <w:rsid w:val="00937869"/>
    <w:rsid w:val="00963E68"/>
    <w:rsid w:val="0097560F"/>
    <w:rsid w:val="009A4785"/>
    <w:rsid w:val="00A059DD"/>
    <w:rsid w:val="00AA3650"/>
    <w:rsid w:val="00AC1021"/>
    <w:rsid w:val="00AD2151"/>
    <w:rsid w:val="00B40965"/>
    <w:rsid w:val="00B504D4"/>
    <w:rsid w:val="00B728D7"/>
    <w:rsid w:val="00C03527"/>
    <w:rsid w:val="00C23C96"/>
    <w:rsid w:val="00C30265"/>
    <w:rsid w:val="00C31D76"/>
    <w:rsid w:val="00DB44F8"/>
    <w:rsid w:val="00EB535D"/>
    <w:rsid w:val="00F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2040"/>
  <w15:docId w15:val="{79092C66-9297-4AAC-99C4-3D466D00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tulo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Ttulo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  <w:sz w:val="26"/>
      <w:szCs w:val="26"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nfase">
    <w:name w:val="Emphasis"/>
    <w:uiPriority w:val="20"/>
    <w:qFormat/>
    <w:rPr>
      <w:i/>
      <w:iCs/>
    </w:rPr>
  </w:style>
  <w:style w:type="table" w:styleId="Tabelacomgrade">
    <w:name w:val="Table Grid"/>
    <w:basedOn w:val="Tabelanormal"/>
    <w:uiPriority w:val="39"/>
    <w:rsid w:val="001B5EA4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59DD"/>
    <w:rPr>
      <w:rFonts w:ascii="Times New Roman" w:hAnsi="Times New Roman" w:cs="Mangal"/>
      <w:szCs w:val="21"/>
    </w:rPr>
  </w:style>
  <w:style w:type="character" w:styleId="Forte">
    <w:name w:val="Strong"/>
    <w:basedOn w:val="Fontepargpadro"/>
    <w:uiPriority w:val="22"/>
    <w:qFormat/>
    <w:rsid w:val="001F01E8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963E68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963E68"/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020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42247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6804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73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22372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73768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PROPOSI&#199;&#213;ES%20MESA%20DIRETORA\MEMO%20PROJETO%20DE%20RESOLU&#199;&#195;O%2001-2025%20-%20S&#212;NIA%20C&#212;RT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33E8D-74A5-46A4-BA4D-4ED7EF5F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PROJETO DE RESOLUÇÃO 01-2025 - SÔNIA CÔRTES</Template>
  <TotalTime>0</TotalTime>
  <Pages>5</Pages>
  <Words>1438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JULIO</cp:lastModifiedBy>
  <cp:revision>2</cp:revision>
  <cp:lastPrinted>2026-02-12T23:32:00Z</cp:lastPrinted>
  <dcterms:created xsi:type="dcterms:W3CDTF">2026-02-25T14:17:00Z</dcterms:created>
  <dcterms:modified xsi:type="dcterms:W3CDTF">2026-02-25T14:17:00Z</dcterms:modified>
</cp:coreProperties>
</file>